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7" w:rsidRDefault="00D35377" w:rsidP="00D353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35377" w:rsidRPr="00064581" w:rsidRDefault="00D35377" w:rsidP="00D353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35377" w:rsidRPr="00EA2AD9" w:rsidRDefault="00D35377" w:rsidP="00D35377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35377" w:rsidRDefault="00D35377" w:rsidP="00D3537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D35377" w:rsidRPr="00AC0360" w:rsidRDefault="006041E5" w:rsidP="00D35377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D35377" w:rsidRPr="00074A9F" w:rsidRDefault="00D35377" w:rsidP="00D35377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D35377" w:rsidRDefault="00D35377" w:rsidP="00D3537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35377" w:rsidRDefault="00D35377" w:rsidP="00D3537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35377" w:rsidRDefault="00D35377" w:rsidP="00D3537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047D25">
            <w:rPr>
              <w:rFonts w:ascii="Arial" w:hAnsi="Arial" w:cs="Arial"/>
              <w:b/>
              <w:sz w:val="24"/>
              <w:szCs w:val="24"/>
              <w:lang w:val="ro-RO"/>
            </w:rPr>
            <w:t>SC PERLA HARGHITEI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047D25">
            <w:rPr>
              <w:rFonts w:ascii="Arial" w:hAnsi="Arial" w:cs="Arial"/>
              <w:sz w:val="24"/>
              <w:szCs w:val="24"/>
              <w:lang w:val="ro-RO"/>
            </w:rPr>
            <w:t>Str. GARII, Nr. 600, Sâncrăieni,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6809B9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047D25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047D25">
            <w:rPr>
              <w:rFonts w:ascii="Arial" w:hAnsi="Arial" w:cs="Arial"/>
              <w:sz w:val="24"/>
              <w:szCs w:val="24"/>
              <w:lang w:val="ro-RO"/>
            </w:rPr>
            <w:t>2003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2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47D25">
            <w:rPr>
              <w:rFonts w:ascii="Arial" w:hAnsi="Arial" w:cs="Arial"/>
              <w:spacing w:val="-6"/>
              <w:sz w:val="24"/>
              <w:szCs w:val="24"/>
              <w:lang w:val="ro-RO"/>
            </w:rPr>
            <w:t>29.02.2016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Content>
        <w:p w:rsidR="00D35377" w:rsidRPr="00416FD5" w:rsidRDefault="00D35377" w:rsidP="00416FD5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16FD5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416FD5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35377" w:rsidRPr="00416FD5" w:rsidRDefault="00D35377" w:rsidP="00416FD5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16FD5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16FD5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416FD5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16FD5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D35377" w:rsidRPr="0001311F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6B60C4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6B60C4">
            <w:rPr>
              <w:rFonts w:ascii="Arial" w:hAnsi="Arial" w:cs="Arial"/>
              <w:sz w:val="24"/>
              <w:szCs w:val="24"/>
              <w:lang w:val="ro-RO"/>
            </w:rPr>
            <w:t>04.05.2016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6B60C4" w:rsidRPr="006B60C4">
            <w:rPr>
              <w:rFonts w:ascii="Arial" w:hAnsi="Arial" w:cs="Arial"/>
              <w:b/>
              <w:sz w:val="24"/>
              <w:szCs w:val="24"/>
              <w:lang w:val="ro-RO"/>
            </w:rPr>
            <w:t>Const</w:t>
          </w:r>
          <w:r w:rsidR="00706C97">
            <w:rPr>
              <w:rFonts w:ascii="Arial" w:hAnsi="Arial" w:cs="Arial"/>
              <w:b/>
              <w:sz w:val="24"/>
              <w:szCs w:val="24"/>
              <w:lang w:val="ro-RO"/>
            </w:rPr>
            <w:t>r</w:t>
          </w:r>
          <w:r w:rsidR="006B60C4" w:rsidRPr="006B60C4">
            <w:rPr>
              <w:rFonts w:ascii="Arial" w:hAnsi="Arial" w:cs="Arial"/>
              <w:b/>
              <w:sz w:val="24"/>
              <w:szCs w:val="24"/>
              <w:lang w:val="ro-RO"/>
            </w:rPr>
            <w:t>uire hală de producţie</w:t>
          </w:r>
          <w:r w:rsidR="006B60C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6B60C4">
            <w:rPr>
              <w:rFonts w:ascii="Arial" w:hAnsi="Arial" w:cs="Arial"/>
              <w:sz w:val="24"/>
              <w:szCs w:val="24"/>
              <w:lang w:val="ro-RO"/>
            </w:rPr>
            <w:t>comuna Sâncrăieni, sat Sâncrăieni, str. Gării, nr. 600, jud. Harghita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35377" w:rsidRPr="00447422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891EC0" w:rsidRPr="001D6349" w:rsidRDefault="00D35377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891EC0" w:rsidRPr="001D6349">
            <w:rPr>
              <w:rFonts w:ascii="Arial" w:hAnsi="Arial" w:cs="Arial"/>
              <w:sz w:val="24"/>
              <w:szCs w:val="24"/>
            </w:rPr>
            <w:t>I. Motivele care au stat la baza luării deciziei etapei de încadrare în procedura de evaluare a impactului asupra mediului sunt următoarele:</w:t>
          </w:r>
        </w:p>
        <w:p w:rsidR="00891EC0" w:rsidRDefault="00891EC0" w:rsidP="00047D25">
          <w:pPr>
            <w:pStyle w:val="BodyText"/>
            <w:numPr>
              <w:ilvl w:val="0"/>
              <w:numId w:val="13"/>
            </w:numPr>
            <w:autoSpaceDE/>
            <w:autoSpaceDN/>
            <w:adjustRightInd/>
            <w:ind w:right="-1"/>
            <w:jc w:val="both"/>
            <w:rPr>
              <w:rFonts w:eastAsia="Calibri" w:cs="Arial"/>
            </w:rPr>
          </w:pPr>
          <w:r w:rsidRPr="001D6349">
            <w:rPr>
              <w:rFonts w:cs="Arial"/>
            </w:rPr>
            <w:t>Proiectul se încadrează în prevederile Hotărârii Guvernului nr. 445/2009</w:t>
          </w:r>
          <w:r w:rsidRPr="001D6349">
            <w:rPr>
              <w:rFonts w:eastAsia="Calibri" w:cs="Arial"/>
            </w:rPr>
            <w:t xml:space="preserve">, anexa nr. 2, pct. </w:t>
          </w:r>
          <w:r w:rsidR="006B60C4">
            <w:rPr>
              <w:rFonts w:eastAsia="Calibri" w:cs="Arial"/>
            </w:rPr>
            <w:t>10</w:t>
          </w:r>
          <w:r w:rsidRPr="001D6349">
            <w:rPr>
              <w:rFonts w:eastAsia="Calibri" w:cs="Arial"/>
            </w:rPr>
            <w:t xml:space="preserve">, lit. a) </w:t>
          </w:r>
          <w:r w:rsidR="006B60C4">
            <w:rPr>
              <w:rFonts w:eastAsia="Calibri" w:cs="Arial"/>
            </w:rPr>
            <w:t>proiecte de dezvoltare</w:t>
          </w:r>
          <w:r w:rsidR="00E21B5A">
            <w:rPr>
              <w:rFonts w:eastAsia="Calibri" w:cs="Arial"/>
            </w:rPr>
            <w:t xml:space="preserve"> a unităţilor industriale, coroborat cu pct. 13 lit.a</w:t>
          </w:r>
          <w:r w:rsidRPr="001D6349">
            <w:rPr>
              <w:rFonts w:eastAsia="Calibri" w:cs="Arial"/>
            </w:rPr>
            <w:t xml:space="preserve">; </w:t>
          </w:r>
        </w:p>
        <w:p w:rsidR="00416FD5" w:rsidRPr="00416FD5" w:rsidRDefault="00416FD5" w:rsidP="00047D25">
          <w:pPr>
            <w:pStyle w:val="Default"/>
          </w:pPr>
        </w:p>
        <w:p w:rsidR="00891EC0" w:rsidRDefault="00891EC0" w:rsidP="00047D25">
          <w:pPr>
            <w:pStyle w:val="BodyText"/>
            <w:numPr>
              <w:ilvl w:val="0"/>
              <w:numId w:val="13"/>
            </w:numPr>
            <w:autoSpaceDE/>
            <w:autoSpaceDN/>
            <w:adjustRightInd/>
            <w:ind w:right="-1"/>
            <w:jc w:val="both"/>
            <w:rPr>
              <w:rFonts w:cs="Arial"/>
              <w:bCs/>
            </w:rPr>
          </w:pPr>
          <w:r w:rsidRPr="001D6349">
            <w:rPr>
              <w:rFonts w:cs="Arial"/>
              <w:bCs/>
            </w:rPr>
            <w:t>Criterii de selecţie pentru stabilirea necesităţii efectuării evaluării impactului asupra mediului conf. Anexa nr. 3 din HG 445/2010 :</w:t>
          </w:r>
        </w:p>
        <w:p w:rsidR="00416FD5" w:rsidRPr="00416FD5" w:rsidRDefault="00416FD5" w:rsidP="00416FD5">
          <w:pPr>
            <w:pStyle w:val="Default"/>
          </w:pPr>
        </w:p>
        <w:p w:rsidR="00891EC0" w:rsidRPr="001D6349" w:rsidRDefault="00416FD5" w:rsidP="00891EC0">
          <w:pPr>
            <w:pStyle w:val="BodyText"/>
            <w:numPr>
              <w:ilvl w:val="0"/>
              <w:numId w:val="12"/>
            </w:numPr>
            <w:autoSpaceDE/>
            <w:autoSpaceDN/>
            <w:adjustRightInd/>
            <w:ind w:right="-1"/>
            <w:jc w:val="both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</w:t>
          </w:r>
          <w:r w:rsidR="00891EC0" w:rsidRPr="001D6349">
            <w:rPr>
              <w:rFonts w:cs="Arial"/>
              <w:b/>
              <w:bCs/>
            </w:rPr>
            <w:t>Caracteristicile proiectului:</w:t>
          </w:r>
        </w:p>
        <w:p w:rsidR="006809B9" w:rsidRDefault="00891EC0" w:rsidP="00416FD5">
          <w:pPr>
            <w:pStyle w:val="Default"/>
            <w:spacing w:before="120"/>
            <w:jc w:val="both"/>
            <w:rPr>
              <w:rFonts w:eastAsia="Century Gothic"/>
              <w:lang w:val="hu-HU" w:bidi="en-US"/>
            </w:rPr>
          </w:pPr>
          <w:r w:rsidRPr="001D6349">
            <w:rPr>
              <w:i/>
              <w:lang w:eastAsia="ro-RO"/>
            </w:rPr>
            <w:t>a) mărimea proiectului</w:t>
          </w:r>
          <w:r w:rsidRPr="001D6349">
            <w:rPr>
              <w:lang w:eastAsia="ro-RO"/>
            </w:rPr>
            <w:t xml:space="preserve">: </w:t>
          </w:r>
          <w:r w:rsidR="00E21B5A" w:rsidRPr="00FC55D4">
            <w:rPr>
              <w:rFonts w:eastAsia="Century Gothic"/>
              <w:lang w:val="hu-HU" w:bidi="en-US"/>
            </w:rPr>
            <w:t xml:space="preserve">Obiectul lucrării </w:t>
          </w:r>
          <w:r w:rsidR="00E21B5A" w:rsidRPr="00DD5FD4">
            <w:rPr>
              <w:rFonts w:eastAsia="Century Gothic"/>
              <w:lang w:val="hu-HU" w:bidi="en-US"/>
            </w:rPr>
            <w:t>este construirea</w:t>
          </w:r>
          <w:r w:rsidR="00E21B5A">
            <w:rPr>
              <w:rFonts w:eastAsia="Century Gothic"/>
              <w:lang w:val="hu-HU" w:bidi="en-US"/>
            </w:rPr>
            <w:t xml:space="preserve"> unei halei metalice </w:t>
          </w:r>
          <w:r w:rsidR="006809B9">
            <w:rPr>
              <w:rFonts w:eastAsia="Century Gothic"/>
              <w:lang w:val="hu-HU" w:bidi="en-US"/>
            </w:rPr>
            <w:t>pentru o nouă linie de îmbuteliere</w:t>
          </w:r>
          <w:r w:rsidR="00E21B5A">
            <w:rPr>
              <w:rFonts w:eastAsia="Century Gothic"/>
              <w:lang w:val="hu-HU" w:bidi="en-US"/>
            </w:rPr>
            <w:t xml:space="preserve"> </w:t>
          </w:r>
          <w:r w:rsidR="006809B9">
            <w:rPr>
              <w:rFonts w:eastAsia="Century Gothic"/>
              <w:lang w:val="hu-HU" w:bidi="en-US"/>
            </w:rPr>
            <w:t xml:space="preserve">a apei minerale naturale, adică pentru creşterea </w:t>
          </w:r>
          <w:r w:rsidR="00E21B5A">
            <w:rPr>
              <w:rFonts w:eastAsia="Century Gothic"/>
              <w:lang w:val="hu-HU" w:bidi="en-US"/>
            </w:rPr>
            <w:t>pro</w:t>
          </w:r>
          <w:r w:rsidR="006809B9">
            <w:rPr>
              <w:rFonts w:eastAsia="Century Gothic"/>
              <w:lang w:val="hu-HU" w:bidi="en-US"/>
            </w:rPr>
            <w:t>d</w:t>
          </w:r>
          <w:r w:rsidR="00E21B5A">
            <w:rPr>
              <w:rFonts w:eastAsia="Century Gothic"/>
              <w:lang w:val="hu-HU" w:bidi="en-US"/>
            </w:rPr>
            <w:t>uc</w:t>
          </w:r>
          <w:r w:rsidR="00E21B5A">
            <w:rPr>
              <w:rFonts w:eastAsia="Century Gothic"/>
              <w:lang w:val="ro-RO" w:bidi="en-US"/>
            </w:rPr>
            <w:t>ț</w:t>
          </w:r>
          <w:r w:rsidR="00E21B5A">
            <w:rPr>
              <w:rFonts w:eastAsia="Century Gothic"/>
              <w:lang w:bidi="en-US"/>
            </w:rPr>
            <w:t>ie</w:t>
          </w:r>
          <w:r w:rsidR="006809B9">
            <w:rPr>
              <w:rFonts w:eastAsia="Century Gothic"/>
              <w:lang w:bidi="en-US"/>
            </w:rPr>
            <w:t>i</w:t>
          </w:r>
          <w:r w:rsidR="00E21B5A">
            <w:rPr>
              <w:rFonts w:eastAsia="Century Gothic"/>
              <w:lang w:bidi="en-US"/>
            </w:rPr>
            <w:t xml:space="preserve"> și </w:t>
          </w:r>
          <w:r w:rsidR="006809B9">
            <w:rPr>
              <w:rFonts w:eastAsia="Century Gothic"/>
              <w:lang w:val="hu-HU" w:bidi="en-US"/>
            </w:rPr>
            <w:t>a spaţiilor de</w:t>
          </w:r>
          <w:r w:rsidR="00E21B5A">
            <w:rPr>
              <w:rFonts w:eastAsia="Century Gothic"/>
              <w:lang w:val="hu-HU" w:bidi="en-US"/>
            </w:rPr>
            <w:t xml:space="preserve"> depozitare. </w:t>
          </w:r>
        </w:p>
        <w:p w:rsidR="00891EC0" w:rsidRDefault="00E21B5A" w:rsidP="00416FD5">
          <w:pPr>
            <w:pStyle w:val="Default"/>
            <w:spacing w:before="120"/>
            <w:jc w:val="both"/>
            <w:rPr>
              <w:rFonts w:eastAsia="Century Gothic"/>
              <w:lang w:val="hu-HU"/>
            </w:rPr>
          </w:pPr>
          <w:r>
            <w:rPr>
              <w:rFonts w:eastAsia="Century Gothic"/>
              <w:lang w:val="hu-HU"/>
            </w:rPr>
            <w:t>Beneficiarul are intenția de a dezvolta productivitatea prin investirea într-o linie de producție nouă pentru înbutelierea băuturi minerale în sticle plastic</w:t>
          </w:r>
          <w:r w:rsidR="00AD5D08">
            <w:rPr>
              <w:rFonts w:eastAsia="Century Gothic"/>
              <w:lang w:val="hu-HU"/>
            </w:rPr>
            <w:t xml:space="preserve">e tip PET, care va creşte capacitatea de producţie a apei minerale naturale îmbuteliată cu cca. 30% faţă de capacitatea de producţie reglementată prin Autorizaţia de mediu nr. 83 revizuită la data de 25 februarie 2014. </w:t>
          </w:r>
          <w:r w:rsidR="00AD5D08" w:rsidRPr="004B725A">
            <w:rPr>
              <w:rFonts w:eastAsia="Arial"/>
              <w:bCs/>
            </w:rPr>
            <w:t xml:space="preserve">Clădirea nou propusă va fi racordată </w:t>
          </w:r>
          <w:r w:rsidR="00AD5D08">
            <w:rPr>
              <w:rFonts w:eastAsia="Arial"/>
              <w:bCs/>
            </w:rPr>
            <w:t xml:space="preserve">la toate utilitățile existente. </w:t>
          </w:r>
          <w:r w:rsidR="004E0854">
            <w:rPr>
              <w:rFonts w:eastAsia="Arial"/>
              <w:bCs/>
            </w:rPr>
            <w:t xml:space="preserve">Clădirea propusă va cuprinde atât noua linie de producţie cât şi un depozit de produse finite, </w:t>
          </w:r>
          <w:r w:rsidR="002273A6">
            <w:rPr>
              <w:rFonts w:eastAsia="Arial"/>
              <w:bCs/>
            </w:rPr>
            <w:t xml:space="preserve">un </w:t>
          </w:r>
          <w:r w:rsidR="004E0854">
            <w:rPr>
              <w:rFonts w:eastAsia="Arial"/>
              <w:bCs/>
            </w:rPr>
            <w:t xml:space="preserve">depozit  de materii prime si spatiu administrativ. Sursele de apă minerală naturale nu vor fi suprasolicitate, având un debit autorizat care poate </w:t>
          </w:r>
          <w:r w:rsidR="002273A6">
            <w:rPr>
              <w:rFonts w:eastAsia="Arial"/>
              <w:bCs/>
            </w:rPr>
            <w:t xml:space="preserve">deservi o nouă linie de producţie. Sursa </w:t>
          </w:r>
          <w:r w:rsidR="004B4457">
            <w:rPr>
              <w:rFonts w:eastAsia="Arial"/>
              <w:bCs/>
            </w:rPr>
            <w:t xml:space="preserve">de alimentare de apă potabilă cu un debit de V zi maxim = 277,43 mc/zi – 6,33 l/s acoperă </w:t>
          </w:r>
          <w:r w:rsidR="007812F6">
            <w:rPr>
              <w:rFonts w:eastAsia="Arial"/>
              <w:bCs/>
            </w:rPr>
            <w:t xml:space="preserve">necesarul pentru creşterea </w:t>
          </w:r>
          <w:r w:rsidR="007812F6">
            <w:rPr>
              <w:rFonts w:eastAsia="Arial"/>
              <w:bCs/>
            </w:rPr>
            <w:lastRenderedPageBreak/>
            <w:t>capacităţii de producţie şi staţia de epurare existentă, autorizată prin Autorizaţia de gospodărire a apelor nr. 6/27.01.2016 emisă de ABA Olt -  SGA Harghita, cu debitul caracteristic  Q zi maxim = 52 mc/zi, este suficientă pentru preluarea debitelor de apă uzată care vor rezulta în urma implementării proiectului.</w:t>
          </w:r>
        </w:p>
        <w:p w:rsidR="00891EC0" w:rsidRPr="001D6349" w:rsidRDefault="007812F6" w:rsidP="00416FD5">
          <w:pPr>
            <w:pStyle w:val="BodyText"/>
            <w:spacing w:before="120"/>
            <w:ind w:right="3"/>
            <w:jc w:val="both"/>
            <w:rPr>
              <w:rFonts w:cs="Arial"/>
              <w:i/>
            </w:rPr>
          </w:pPr>
          <w:r>
            <w:rPr>
              <w:rFonts w:cs="Arial"/>
            </w:rPr>
            <w:t>b)</w:t>
          </w:r>
          <w:r w:rsidR="00891EC0" w:rsidRPr="001D6349">
            <w:rPr>
              <w:rFonts w:cs="Arial"/>
            </w:rPr>
            <w:t xml:space="preserve"> Cumularea cu alte proiecte: </w:t>
          </w:r>
          <w:r w:rsidR="00891EC0" w:rsidRPr="001D6349">
            <w:rPr>
              <w:rFonts w:cs="Arial"/>
              <w:i/>
            </w:rPr>
            <w:t>nu este cazul</w:t>
          </w:r>
        </w:p>
        <w:p w:rsidR="00891EC0" w:rsidRPr="001D6349" w:rsidRDefault="007812F6" w:rsidP="00416FD5">
          <w:pPr>
            <w:pStyle w:val="BodyText"/>
            <w:spacing w:before="120"/>
            <w:ind w:right="3"/>
            <w:jc w:val="both"/>
            <w:rPr>
              <w:rFonts w:cs="Arial"/>
              <w:i/>
            </w:rPr>
          </w:pPr>
          <w:r>
            <w:rPr>
              <w:rFonts w:cs="Arial"/>
            </w:rPr>
            <w:t>c)</w:t>
          </w:r>
          <w:r w:rsidR="00891EC0" w:rsidRPr="001D6349">
            <w:rPr>
              <w:rFonts w:cs="Arial"/>
            </w:rPr>
            <w:t xml:space="preserve"> Utilizarea resurselor naturale: </w:t>
          </w:r>
          <w:r w:rsidR="00891EC0" w:rsidRPr="001D6349">
            <w:rPr>
              <w:rFonts w:cs="Arial"/>
              <w:i/>
            </w:rPr>
            <w:t>resursa minerală regenerabil</w:t>
          </w:r>
          <w:r w:rsidR="005A561C">
            <w:rPr>
              <w:rFonts w:cs="Arial"/>
              <w:i/>
            </w:rPr>
            <w:t>ă,</w:t>
          </w:r>
          <w:r w:rsidR="00891EC0" w:rsidRPr="001D6349">
            <w:rPr>
              <w:rFonts w:cs="Arial"/>
              <w:i/>
            </w:rPr>
            <w:t xml:space="preserve"> </w:t>
          </w:r>
          <w:r>
            <w:rPr>
              <w:rFonts w:cs="Arial"/>
              <w:i/>
            </w:rPr>
            <w:t>apă mineral</w:t>
          </w:r>
          <w:r w:rsidR="005A561C">
            <w:rPr>
              <w:rFonts w:cs="Arial"/>
              <w:i/>
            </w:rPr>
            <w:t>ă</w:t>
          </w:r>
          <w:r>
            <w:rPr>
              <w:rFonts w:cs="Arial"/>
              <w:i/>
            </w:rPr>
            <w:t xml:space="preserve"> </w:t>
          </w:r>
          <w:r w:rsidR="00B0485B">
            <w:rPr>
              <w:rFonts w:cs="Arial"/>
              <w:i/>
            </w:rPr>
            <w:t>natural</w:t>
          </w:r>
          <w:r w:rsidR="005A561C">
            <w:rPr>
              <w:rFonts w:cs="Arial"/>
              <w:i/>
            </w:rPr>
            <w:t>ă</w:t>
          </w:r>
          <w:r w:rsidR="00B0485B">
            <w:rPr>
              <w:rFonts w:cs="Arial"/>
              <w:i/>
            </w:rPr>
            <w:t xml:space="preserve"> din surse existente autorizate, apă potabilă din două puţuri autorizate, râul Olt</w:t>
          </w:r>
          <w:r w:rsidR="005A561C">
            <w:rPr>
              <w:rFonts w:cs="Arial"/>
              <w:i/>
            </w:rPr>
            <w:t>,</w:t>
          </w:r>
          <w:r w:rsidR="00B0485B">
            <w:rPr>
              <w:rFonts w:cs="Arial"/>
              <w:i/>
            </w:rPr>
            <w:t xml:space="preserve"> ca receptor natural pentru ape uzate epurate în sistem de epurare propriu</w:t>
          </w:r>
          <w:r w:rsidR="00891EC0" w:rsidRPr="001D6349">
            <w:rPr>
              <w:rFonts w:cs="Arial"/>
              <w:i/>
            </w:rPr>
            <w:t>.</w:t>
          </w:r>
        </w:p>
        <w:p w:rsidR="00891EC0" w:rsidRPr="001D6349" w:rsidRDefault="00B0485B" w:rsidP="00416FD5">
          <w:pPr>
            <w:pStyle w:val="BodyText"/>
            <w:spacing w:before="120"/>
            <w:ind w:right="3"/>
            <w:jc w:val="both"/>
            <w:rPr>
              <w:rFonts w:cs="Arial"/>
              <w:i/>
              <w:iCs/>
            </w:rPr>
          </w:pPr>
          <w:r>
            <w:rPr>
              <w:rFonts w:cs="Arial"/>
            </w:rPr>
            <w:t>d)</w:t>
          </w:r>
          <w:r w:rsidR="00891EC0" w:rsidRPr="001D6349">
            <w:rPr>
              <w:rFonts w:cs="Arial"/>
            </w:rPr>
            <w:t xml:space="preserve"> Producţia de deşeuri: </w:t>
          </w:r>
          <w:r>
            <w:rPr>
              <w:rFonts w:cs="Arial"/>
              <w:i/>
              <w:iCs/>
            </w:rPr>
            <w:t xml:space="preserve">va creşte </w:t>
          </w:r>
          <w:r w:rsidR="005A561C">
            <w:rPr>
              <w:rFonts w:cs="Arial"/>
              <w:i/>
              <w:iCs/>
            </w:rPr>
            <w:t>cantitatea cu aprox. 30%</w:t>
          </w:r>
          <w:r>
            <w:rPr>
              <w:rFonts w:cs="Arial"/>
              <w:i/>
              <w:iCs/>
            </w:rPr>
            <w:t xml:space="preserve"> </w:t>
          </w:r>
          <w:r w:rsidR="00892CDB">
            <w:rPr>
              <w:rFonts w:cs="Arial"/>
              <w:i/>
              <w:iCs/>
            </w:rPr>
            <w:t>la aproape toate categoriile</w:t>
          </w:r>
          <w:r w:rsidR="005A561C">
            <w:rPr>
              <w:rFonts w:cs="Arial"/>
              <w:i/>
              <w:iCs/>
            </w:rPr>
            <w:t xml:space="preserve"> de deşeuri</w:t>
          </w:r>
          <w:r w:rsidR="00892CDB">
            <w:rPr>
              <w:rFonts w:cs="Arial"/>
              <w:i/>
              <w:iCs/>
            </w:rPr>
            <w:t xml:space="preserve"> cuprinse în Autorizaţia de mediu nr. 83/rev. 2014.</w:t>
          </w:r>
        </w:p>
        <w:p w:rsidR="00891EC0" w:rsidRPr="001D6349" w:rsidRDefault="005A561C" w:rsidP="00416FD5">
          <w:pPr>
            <w:pStyle w:val="BodyText"/>
            <w:spacing w:before="120"/>
            <w:ind w:right="3"/>
            <w:jc w:val="both"/>
            <w:rPr>
              <w:rFonts w:cs="Arial"/>
              <w:i/>
              <w:lang w:val="fr-FR"/>
            </w:rPr>
          </w:pPr>
          <w:r>
            <w:rPr>
              <w:rFonts w:cs="Arial"/>
            </w:rPr>
            <w:t>e)</w:t>
          </w:r>
          <w:r w:rsidR="00891EC0" w:rsidRPr="001D6349">
            <w:rPr>
              <w:rFonts w:cs="Arial"/>
            </w:rPr>
            <w:t xml:space="preserve"> Emisii poluante, inclusiv zgomotul şi alte surse de disconfort:</w:t>
          </w:r>
          <w:r>
            <w:rPr>
              <w:rFonts w:cs="Arial"/>
            </w:rPr>
            <w:t xml:space="preserve"> </w:t>
          </w:r>
          <w:r w:rsidR="00891EC0" w:rsidRPr="001D6349">
            <w:rPr>
              <w:rFonts w:cs="Arial"/>
              <w:i/>
              <w:lang w:val="fr-FR"/>
            </w:rPr>
            <w:t xml:space="preserve">utilizarea echipamentelor generatoare de zgomot </w:t>
          </w:r>
          <w:r>
            <w:rPr>
              <w:rFonts w:cs="Arial"/>
              <w:i/>
              <w:lang w:val="fr-FR"/>
            </w:rPr>
            <w:t>în spaţiu închis,</w:t>
          </w:r>
          <w:r w:rsidR="00891EC0" w:rsidRPr="001D6349">
            <w:rPr>
              <w:rFonts w:cs="Arial"/>
              <w:i/>
              <w:lang w:val="fr-FR"/>
            </w:rPr>
            <w:t xml:space="preserve"> nu reprezintă o sursă generatoare de disconfort.</w:t>
          </w:r>
        </w:p>
        <w:p w:rsidR="00891EC0" w:rsidRDefault="00891EC0" w:rsidP="00416FD5">
          <w:pPr>
            <w:pStyle w:val="BodyText"/>
            <w:spacing w:before="120"/>
            <w:ind w:right="3"/>
            <w:jc w:val="both"/>
            <w:rPr>
              <w:rFonts w:cs="Arial"/>
              <w:i/>
              <w:lang w:val="fr-FR"/>
            </w:rPr>
          </w:pPr>
          <w:r w:rsidRPr="001D6349">
            <w:rPr>
              <w:rFonts w:cs="Arial"/>
            </w:rPr>
            <w:t>6. Riscul de accident, ţinându-se seama în special de substanţele şi de tehnologie utilizate:</w:t>
          </w:r>
          <w:r w:rsidRPr="001D6349">
            <w:rPr>
              <w:rFonts w:cs="Arial"/>
              <w:i/>
            </w:rPr>
            <w:t xml:space="preserve"> </w:t>
          </w:r>
          <w:r w:rsidRPr="001D6349">
            <w:rPr>
              <w:rFonts w:cs="Arial"/>
              <w:i/>
              <w:lang w:val="fr-FR"/>
            </w:rPr>
            <w:t>- nu este cazul.</w:t>
          </w:r>
        </w:p>
        <w:p w:rsidR="00416FD5" w:rsidRPr="00416FD5" w:rsidRDefault="00416FD5" w:rsidP="00416FD5">
          <w:pPr>
            <w:pStyle w:val="Default"/>
            <w:rPr>
              <w:lang w:val="fr-FR"/>
            </w:rPr>
          </w:pPr>
        </w:p>
        <w:p w:rsidR="00891EC0" w:rsidRPr="001D6349" w:rsidRDefault="00891EC0" w:rsidP="00891EC0">
          <w:pPr>
            <w:pStyle w:val="BodyText"/>
            <w:ind w:right="3"/>
            <w:jc w:val="both"/>
            <w:rPr>
              <w:rFonts w:cs="Arial"/>
            </w:rPr>
          </w:pPr>
          <w:r w:rsidRPr="001D6349">
            <w:rPr>
              <w:rFonts w:cs="Arial"/>
              <w:b/>
            </w:rPr>
            <w:t>2.</w:t>
          </w:r>
          <w:r w:rsidRPr="001D6349">
            <w:rPr>
              <w:rFonts w:cs="Arial"/>
            </w:rPr>
            <w:tab/>
          </w:r>
          <w:r w:rsidRPr="001D6349">
            <w:rPr>
              <w:rFonts w:cs="Arial"/>
              <w:b/>
              <w:bCs/>
            </w:rPr>
            <w:t>Localizarea proiectului</w:t>
          </w:r>
          <w:r w:rsidRPr="001D6349">
            <w:rPr>
              <w:rFonts w:cs="Arial"/>
            </w:rPr>
            <w:t xml:space="preserve">: 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2.1. utilizarea existentă a terenului: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="00B756FE">
            <w:rPr>
              <w:rFonts w:ascii="Arial" w:hAnsi="Arial" w:cs="Arial"/>
              <w:sz w:val="24"/>
              <w:szCs w:val="24"/>
              <w:lang w:eastAsia="ro-RO"/>
            </w:rPr>
            <w:t xml:space="preserve">zonă </w:t>
          </w:r>
          <w:r w:rsidR="00DC2D81">
            <w:rPr>
              <w:rFonts w:ascii="Arial" w:hAnsi="Arial" w:cs="Arial"/>
              <w:sz w:val="24"/>
              <w:szCs w:val="24"/>
              <w:lang w:eastAsia="ro-RO"/>
            </w:rPr>
            <w:t>industrială.</w:t>
          </w:r>
          <w:r w:rsidR="00B756FE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="00B756FE" w:rsidRPr="00B756FE">
            <w:rPr>
              <w:rFonts w:ascii="Arial" w:hAnsi="Arial" w:cs="Arial"/>
              <w:sz w:val="24"/>
              <w:szCs w:val="24"/>
              <w:lang w:val="hu-HU" w:eastAsia="ro-RO"/>
            </w:rPr>
            <w:t>În urma demolării totală a corpului C29 (conf. CF 52893/10.12.2015) și parțială a corpului C14 (conf. CF 52893/10.12.2015) s</w:t>
          </w:r>
          <w:r w:rsidR="00B756FE">
            <w:rPr>
              <w:rFonts w:ascii="Arial" w:hAnsi="Arial" w:cs="Arial"/>
              <w:sz w:val="24"/>
              <w:szCs w:val="24"/>
              <w:lang w:val="hu-HU" w:eastAsia="ro-RO"/>
            </w:rPr>
            <w:t>-a eliberat de construcţii amplasamentul acestui proiect.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2.2.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relativa abundenţă a resurselor naturale din zonă, calitatea şi capacitatea regenerativă a acestora</w:t>
          </w:r>
          <w:r w:rsidR="00B756FE">
            <w:rPr>
              <w:rFonts w:ascii="Arial" w:hAnsi="Arial" w:cs="Arial"/>
              <w:sz w:val="24"/>
              <w:szCs w:val="24"/>
              <w:lang w:eastAsia="ro-RO"/>
            </w:rPr>
            <w:t>: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="00B756FE">
            <w:rPr>
              <w:rFonts w:ascii="Arial" w:hAnsi="Arial" w:cs="Arial"/>
              <w:sz w:val="24"/>
              <w:szCs w:val="24"/>
              <w:lang w:eastAsia="ro-RO"/>
            </w:rPr>
            <w:t>apa mineral naturală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este relativ abundentă în zona amplasmentului, 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2.3.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capacitatea de absorbţie a mediului, cu atenţie deosebită pentru: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a)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zonele umede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nu este cazul,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b)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zonele costiere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nu este cazul,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c)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zonele montane şi cele împădurite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: </w:t>
          </w:r>
          <w:r w:rsidR="00B756FE">
            <w:rPr>
              <w:rFonts w:ascii="Arial" w:hAnsi="Arial" w:cs="Arial"/>
              <w:sz w:val="24"/>
              <w:szCs w:val="24"/>
              <w:lang w:eastAsia="ro-RO"/>
            </w:rPr>
            <w:t>nu este cazul,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d)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parcurile şi rezervaţiile natural</w:t>
          </w:r>
          <w:r>
            <w:rPr>
              <w:rFonts w:ascii="Arial" w:hAnsi="Arial" w:cs="Arial"/>
              <w:i/>
              <w:sz w:val="24"/>
              <w:szCs w:val="24"/>
              <w:lang w:eastAsia="ro-RO"/>
            </w:rPr>
            <w:t>e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: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nu este cazul,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e)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ariile clasificate sau zonele protejate prin legislaţia în vigoare, cum sunt: zone de protecţie a faunei piscicole, bazine piscicole naturale şi bazine piscicole amenajate etc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.: nu este cazul,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f)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zonele de protecţie specială,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: </w:t>
          </w:r>
          <w:r w:rsidR="00DC2D81">
            <w:rPr>
              <w:rFonts w:ascii="Arial" w:hAnsi="Arial" w:cs="Arial"/>
              <w:sz w:val="24"/>
              <w:szCs w:val="24"/>
            </w:rPr>
            <w:t>nu este cazul – amplasamentul situate la o distanţă de aprox. 300 m faţă de limita ROSCI0007 – Bazinul Ciucului de Jos,</w:t>
          </w:r>
          <w:r w:rsidRPr="001D634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g)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ariile în care standardele de calitate a mediului stabilite de legislaţie au fost deja depăşite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nu este cazul,</w:t>
          </w:r>
        </w:p>
        <w:p w:rsidR="00891EC0" w:rsidRPr="001D6349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h)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ariile dens populate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nu este cazul,</w:t>
          </w:r>
        </w:p>
        <w:p w:rsidR="00891EC0" w:rsidRDefault="00891EC0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i)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peisajele cu semnificaţie istorică, culturală şi arheologică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nu este cazul.</w:t>
          </w:r>
        </w:p>
        <w:p w:rsidR="00416FD5" w:rsidRDefault="00416FD5" w:rsidP="00416FD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</w:p>
        <w:p w:rsidR="00416FD5" w:rsidRPr="001D6349" w:rsidRDefault="00416FD5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</w:p>
        <w:p w:rsidR="00891EC0" w:rsidRPr="001D6349" w:rsidRDefault="00891EC0" w:rsidP="00891EC0">
          <w:pPr>
            <w:pStyle w:val="BodyText"/>
            <w:autoSpaceDE/>
            <w:autoSpaceDN/>
            <w:adjustRightInd/>
            <w:ind w:right="-1"/>
            <w:jc w:val="both"/>
            <w:rPr>
              <w:rFonts w:cs="Arial"/>
              <w:b/>
              <w:bCs/>
            </w:rPr>
          </w:pPr>
          <w:r w:rsidRPr="001D6349">
            <w:rPr>
              <w:rFonts w:cs="Arial"/>
              <w:b/>
              <w:bCs/>
            </w:rPr>
            <w:lastRenderedPageBreak/>
            <w:t>3.</w:t>
          </w:r>
          <w:r w:rsidRPr="001D6349">
            <w:rPr>
              <w:rFonts w:cs="Arial"/>
              <w:b/>
              <w:bCs/>
            </w:rPr>
            <w:tab/>
            <w:t>Caracteristicile impactului potenţial:</w:t>
          </w:r>
        </w:p>
        <w:p w:rsidR="00891EC0" w:rsidRPr="001D6349" w:rsidRDefault="00891EC0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a)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extinderea impactului: aria geografică şi numărul persoanelor afectate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prin realizarea proiectului nu vor fi persoane afectate negativ.</w:t>
          </w:r>
        </w:p>
        <w:p w:rsidR="00891EC0" w:rsidRPr="001D6349" w:rsidRDefault="00891EC0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b)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natura transfrontieră a impactului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nu este cazul</w:t>
          </w:r>
        </w:p>
        <w:p w:rsidR="00891EC0" w:rsidRPr="001D6349" w:rsidRDefault="00891EC0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c)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mărimea şi complexitatea impactului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</w:t>
          </w:r>
        </w:p>
        <w:p w:rsidR="00DC2D81" w:rsidRDefault="00891EC0" w:rsidP="00891EC0">
          <w:pPr>
            <w:pStyle w:val="BodyText"/>
            <w:ind w:right="3" w:firstLine="720"/>
            <w:jc w:val="both"/>
            <w:rPr>
              <w:rFonts w:cs="Arial"/>
              <w:i/>
              <w:lang w:val="fr-FR"/>
            </w:rPr>
          </w:pPr>
          <w:r w:rsidRPr="001D6349">
            <w:rPr>
              <w:rFonts w:cs="Arial"/>
              <w:i/>
              <w:lang w:val="fr-FR"/>
            </w:rPr>
            <w:t>-</w:t>
          </w:r>
          <w:r w:rsidRPr="001D6349">
            <w:rPr>
              <w:rFonts w:cs="Arial"/>
              <w:lang w:val="fr-FR"/>
            </w:rPr>
            <w:t>în perioada realizării proiectului, implicit a funcţionării</w:t>
          </w:r>
          <w:r w:rsidRPr="001D6349">
            <w:rPr>
              <w:rFonts w:cs="Arial"/>
              <w:i/>
              <w:lang w:val="fr-FR"/>
            </w:rPr>
            <w:t xml:space="preserve">: impact nesemnificativ poate fi generat de transportul </w:t>
          </w:r>
          <w:r w:rsidR="00DC2D81">
            <w:rPr>
              <w:rFonts w:cs="Arial"/>
              <w:i/>
              <w:lang w:val="fr-FR"/>
            </w:rPr>
            <w:t xml:space="preserve">materialelor şi a </w:t>
          </w:r>
          <w:r w:rsidRPr="001D6349">
            <w:rPr>
              <w:rFonts w:cs="Arial"/>
              <w:i/>
              <w:lang w:val="fr-FR"/>
            </w:rPr>
            <w:t>produselor</w:t>
          </w:r>
          <w:r w:rsidR="00DC2D81">
            <w:rPr>
              <w:rFonts w:cs="Arial"/>
              <w:i/>
              <w:lang w:val="fr-FR"/>
            </w:rPr>
            <w:t>.</w:t>
          </w:r>
        </w:p>
        <w:p w:rsidR="00891EC0" w:rsidRPr="001D6349" w:rsidRDefault="00891EC0" w:rsidP="00891EC0">
          <w:pPr>
            <w:pStyle w:val="BodyText"/>
            <w:ind w:right="3" w:firstLine="720"/>
            <w:jc w:val="both"/>
            <w:rPr>
              <w:rFonts w:cs="Arial"/>
              <w:lang w:eastAsia="ro-RO"/>
            </w:rPr>
          </w:pPr>
          <w:r w:rsidRPr="001D6349">
            <w:rPr>
              <w:rFonts w:cs="Arial"/>
              <w:i/>
              <w:lang w:val="fr-FR"/>
            </w:rPr>
            <w:t xml:space="preserve"> </w:t>
          </w:r>
          <w:r w:rsidRPr="001D6349">
            <w:rPr>
              <w:rFonts w:cs="Arial"/>
              <w:lang w:val="fr-FR"/>
            </w:rPr>
            <w:t>în perioada încetării activităţii</w:t>
          </w:r>
          <w:r w:rsidRPr="001D6349">
            <w:rPr>
              <w:rFonts w:cs="Arial"/>
              <w:i/>
              <w:lang w:val="fr-FR"/>
            </w:rPr>
            <w:t>: vor fi  realizate lucrări refacere a mediului</w:t>
          </w:r>
          <w:r w:rsidRPr="001D6349">
            <w:rPr>
              <w:rFonts w:cs="Arial"/>
              <w:lang w:eastAsia="ro-RO"/>
            </w:rPr>
            <w:t>.</w:t>
          </w:r>
        </w:p>
        <w:p w:rsidR="00891EC0" w:rsidRPr="001D6349" w:rsidRDefault="00891EC0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d)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probabilitatea impactului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mică</w:t>
          </w:r>
        </w:p>
        <w:p w:rsidR="00891EC0" w:rsidRDefault="00891EC0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1D6349">
            <w:rPr>
              <w:rFonts w:ascii="Arial" w:hAnsi="Arial" w:cs="Arial"/>
              <w:sz w:val="24"/>
              <w:szCs w:val="24"/>
              <w:lang w:eastAsia="ro-RO"/>
            </w:rPr>
            <w:t xml:space="preserve">    e) </w:t>
          </w:r>
          <w:r w:rsidRPr="001D6349">
            <w:rPr>
              <w:rFonts w:ascii="Arial" w:hAnsi="Arial" w:cs="Arial"/>
              <w:i/>
              <w:sz w:val="24"/>
              <w:szCs w:val="24"/>
              <w:lang w:eastAsia="ro-RO"/>
            </w:rPr>
            <w:t>durata, frecvenţa şi reversibilitatea impactului</w:t>
          </w:r>
          <w:r w:rsidRPr="001D6349">
            <w:rPr>
              <w:rFonts w:ascii="Arial" w:hAnsi="Arial" w:cs="Arial"/>
              <w:sz w:val="24"/>
              <w:szCs w:val="24"/>
              <w:lang w:eastAsia="ro-RO"/>
            </w:rPr>
            <w:t>: impactul minor este pe termen scurt, nu rezultă impact remanent.</w:t>
          </w:r>
        </w:p>
        <w:p w:rsidR="005B7F5B" w:rsidRPr="001D6349" w:rsidRDefault="005B7F5B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</w:p>
        <w:p w:rsidR="00891EC0" w:rsidRDefault="00891EC0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D6349">
            <w:rPr>
              <w:rFonts w:ascii="Arial" w:hAnsi="Arial" w:cs="Arial"/>
              <w:sz w:val="24"/>
              <w:szCs w:val="24"/>
            </w:rPr>
            <w:t>Răspunderea pentru corectitudinea informaţiilor puse la dispoziţia autorităţii competente pentru protecţia mediului şi a publicului, revine în întregime titularului proiectului)</w:t>
          </w:r>
        </w:p>
        <w:p w:rsidR="005B7F5B" w:rsidRPr="001D6349" w:rsidRDefault="005B7F5B" w:rsidP="00891E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35377" w:rsidRPr="00522DB9" w:rsidRDefault="00D35377" w:rsidP="00D3537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D35377" w:rsidRPr="00C14B7D" w:rsidRDefault="00D35377" w:rsidP="00D3537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C14B7D">
            <w:rPr>
              <w:rFonts w:ascii="Arial" w:hAnsi="Arial" w:cs="Arial"/>
              <w:sz w:val="24"/>
              <w:szCs w:val="24"/>
            </w:rPr>
            <w:t>Este interzisă afectarea terenurilor în afara amplasamentelor autorizate pentru realizarea lucrărilor de investiţii, prin:</w:t>
          </w:r>
        </w:p>
        <w:p w:rsidR="00D35377" w:rsidRPr="0076634B" w:rsidRDefault="00D35377" w:rsidP="00D35377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634B">
            <w:rPr>
              <w:rFonts w:ascii="Arial" w:hAnsi="Arial" w:cs="Arial"/>
              <w:sz w:val="24"/>
              <w:szCs w:val="24"/>
            </w:rPr>
            <w:t>abandonarea, înlăturarea sau eliminarea deşeurilor în locuri neautorizate;</w:t>
          </w:r>
        </w:p>
        <w:p w:rsidR="00D35377" w:rsidRDefault="00D35377" w:rsidP="00D35377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35377">
            <w:rPr>
              <w:rFonts w:ascii="Arial" w:hAnsi="Arial" w:cs="Arial"/>
              <w:sz w:val="24"/>
              <w:szCs w:val="24"/>
            </w:rPr>
            <w:t>staţionarea mijloacelor de transport în afara terenurilor desemnate în acest scop</w:t>
          </w:r>
        </w:p>
        <w:p w:rsidR="00D35377" w:rsidRPr="00D35377" w:rsidRDefault="00D35377" w:rsidP="00D35377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35377">
            <w:rPr>
              <w:rFonts w:ascii="Arial" w:hAnsi="Arial" w:cs="Arial"/>
              <w:sz w:val="24"/>
              <w:szCs w:val="24"/>
            </w:rPr>
            <w:t xml:space="preserve">distrugerea sau degradarea, prin orice mijloace, a vegetaţiei ierboase sau lemnoase;    </w:t>
          </w:r>
        </w:p>
        <w:p w:rsidR="00D35377" w:rsidRPr="00522DB9" w:rsidRDefault="00D35377" w:rsidP="00D3537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D35377">
            <w:rPr>
              <w:rFonts w:ascii="Arial" w:hAnsi="Arial" w:cs="Arial"/>
              <w:sz w:val="24"/>
              <w:szCs w:val="24"/>
            </w:rPr>
            <w:t>La terminarea lucrărilor toate construcțiile și echipamente provizorii vor fi demontate iar zonele și suprafeţele afectate vor fi recondiţionate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D35377" w:rsidRPr="00522DB9" w:rsidRDefault="00D35377" w:rsidP="00D3537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3. La finalizarea proiectului aveţi obligaţia de a notifica APM Harghita, conform art. 15 alin 2) din OUG nr. 195/2005 privind protecţia mediului cu modificări şi completări ulterioare, pentru revizuirea Autorizaţiei de mediu nr. 83/rev.2014 conform Ordinului MMDD nr. 1798/2007.</w:t>
          </w:r>
        </w:p>
        <w:p w:rsidR="00D35377" w:rsidRPr="00522DB9" w:rsidRDefault="008801E2" w:rsidP="00D3537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D35377" w:rsidRPr="00447422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35377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35377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D35377" w:rsidRDefault="00D35377" w:rsidP="00D3537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D35377" w:rsidRDefault="00D35377" w:rsidP="00D3537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35377" w:rsidRPr="00CA4590" w:rsidRDefault="00D35377" w:rsidP="00D3537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D35377" w:rsidRPr="00CA4590" w:rsidRDefault="00D35377" w:rsidP="00D3537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C2EA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DOMOKOS László József</w:t>
          </w:r>
        </w:p>
        <w:p w:rsidR="00D35377" w:rsidRDefault="00D35377" w:rsidP="00D3537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35377" w:rsidRPr="00CA4590" w:rsidRDefault="00D35377" w:rsidP="00D3537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D35377" w:rsidRPr="002F25C6" w:rsidRDefault="00D35377" w:rsidP="00D3537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2F25C6">
            <w:rPr>
              <w:rFonts w:ascii="Arial" w:eastAsia="Times New Roman" w:hAnsi="Arial" w:cs="Arial"/>
              <w:b/>
              <w:sz w:val="24"/>
              <w:szCs w:val="24"/>
              <w:lang w:val="ro-RO" w:bidi="hi-IN"/>
            </w:rPr>
            <w:t xml:space="preserve">ing. </w:t>
          </w:r>
          <w:r w:rsidRPr="002F25C6">
            <w:rPr>
              <w:rFonts w:ascii="Arial" w:eastAsia="Times New Roman" w:hAnsi="Arial" w:cs="Arial"/>
              <w:b/>
              <w:sz w:val="24"/>
              <w:szCs w:val="24"/>
              <w:lang w:val="fr-FR" w:bidi="hi-IN"/>
            </w:rPr>
            <w:t>L</w:t>
          </w:r>
          <w:r w:rsidRPr="002F25C6">
            <w:rPr>
              <w:rFonts w:ascii="Arial" w:eastAsia="Times New Roman" w:hAnsi="Arial" w:cs="Arial"/>
              <w:b/>
              <w:sz w:val="24"/>
              <w:szCs w:val="24"/>
              <w:lang w:val="hu-HU" w:bidi="hi-IN"/>
            </w:rPr>
            <w:t>ÁSZLÓ Anna</w:t>
          </w:r>
        </w:p>
        <w:p w:rsidR="00D35377" w:rsidRDefault="00D35377" w:rsidP="00D3537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809B9" w:rsidRDefault="006809B9" w:rsidP="00D3537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809B9" w:rsidRPr="00062342" w:rsidRDefault="006809B9" w:rsidP="00D3537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35377" w:rsidRDefault="00D35377" w:rsidP="00D3537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hu-HU"/>
            </w:rPr>
          </w:pPr>
        </w:p>
        <w:p w:rsidR="00D35377" w:rsidRPr="00C033AF" w:rsidRDefault="00D35377" w:rsidP="00D3537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35377" w:rsidRPr="00062342" w:rsidRDefault="00D35377" w:rsidP="00D3537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6234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Întocmit, </w:t>
          </w:r>
        </w:p>
        <w:p w:rsidR="00D35377" w:rsidRDefault="00D35377" w:rsidP="00D3537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ED7A53">
            <w:rPr>
              <w:rFonts w:ascii="Arial" w:hAnsi="Arial" w:cs="Arial"/>
              <w:bCs/>
              <w:lang w:val="ro-RO"/>
            </w:rPr>
            <w:t xml:space="preserve">BARTALIS </w:t>
          </w:r>
          <w:r w:rsidRPr="00ED7A53">
            <w:rPr>
              <w:rFonts w:ascii="Arial" w:hAnsi="Arial" w:cs="Arial"/>
              <w:bCs/>
              <w:lang w:val="hu-HU"/>
            </w:rPr>
            <w:t>Gyöngyvér-Éva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D35377" w:rsidRPr="00447422" w:rsidRDefault="00D35377" w:rsidP="00D353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35377" w:rsidRPr="00447422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377" w:rsidRPr="00447422" w:rsidRDefault="00D35377" w:rsidP="00D353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35377" w:rsidRPr="00447422" w:rsidRDefault="00D35377" w:rsidP="00D353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35377" w:rsidRPr="00447422" w:rsidRDefault="00D35377" w:rsidP="00D3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377" w:rsidRPr="00447422" w:rsidRDefault="00D35377" w:rsidP="00D353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35377" w:rsidRPr="00447422" w:rsidRDefault="00D35377" w:rsidP="00D353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D35377" w:rsidRPr="00447422" w:rsidSect="00D3537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77" w:rsidRDefault="00D35377" w:rsidP="00234D38">
      <w:pPr>
        <w:spacing w:after="0" w:line="240" w:lineRule="auto"/>
      </w:pPr>
      <w:r>
        <w:separator/>
      </w:r>
    </w:p>
  </w:endnote>
  <w:endnote w:type="continuationSeparator" w:id="0">
    <w:p w:rsidR="00D35377" w:rsidRDefault="00D35377" w:rsidP="0023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7" w:rsidRDefault="008801E2" w:rsidP="00D353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3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377">
      <w:rPr>
        <w:rStyle w:val="PageNumber"/>
        <w:noProof/>
      </w:rPr>
      <w:t>2</w:t>
    </w:r>
    <w:r>
      <w:rPr>
        <w:rStyle w:val="PageNumber"/>
      </w:rPr>
      <w:fldChar w:fldCharType="end"/>
    </w:r>
  </w:p>
  <w:p w:rsidR="00D35377" w:rsidRDefault="00D35377" w:rsidP="00D353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D35377" w:rsidRPr="007A4C64" w:rsidRDefault="00D35377" w:rsidP="004C49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</w:p>
          <w:p w:rsidR="00D35377" w:rsidRPr="007A4C64" w:rsidRDefault="00D35377" w:rsidP="004C49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Márton Áron,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Cod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9147C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</w:p>
          <w:p w:rsidR="00D35377" w:rsidRPr="007A4C64" w:rsidRDefault="00D35377" w:rsidP="004C49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5A7333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</w:t>
              </w:r>
              <w:r w:rsidRPr="005A7333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Pr="005A7333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apmhr.anpm.ro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0266371313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0266310041</w:t>
            </w:r>
          </w:p>
        </w:sdtContent>
      </w:sdt>
      <w:p w:rsidR="00D35377" w:rsidRPr="00C44321" w:rsidRDefault="00D35377" w:rsidP="00D35377">
        <w:pPr>
          <w:pStyle w:val="Footer"/>
          <w:jc w:val="center"/>
        </w:pPr>
        <w:r>
          <w:t xml:space="preserve"> </w:t>
        </w:r>
        <w:fldSimple w:instr=" PAGE   \* MERGEFORMAT ">
          <w:r w:rsidR="00706C97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D35377" w:rsidRPr="007A4C64" w:rsidRDefault="00D35377" w:rsidP="004C494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HARGHITA</w:t>
        </w:r>
      </w:p>
      <w:p w:rsidR="00D35377" w:rsidRPr="007A4C64" w:rsidRDefault="00D35377" w:rsidP="004C494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hu-HU"/>
          </w:rPr>
          <w:t>Márton Áron,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Pr="009147C1">
          <w:rPr>
            <w:rFonts w:ascii="Arial" w:hAnsi="Arial" w:cs="Arial"/>
            <w:color w:val="00214E"/>
            <w:sz w:val="20"/>
            <w:szCs w:val="20"/>
            <w:lang w:val="ro-RO"/>
          </w:rPr>
          <w:t>530211</w:t>
        </w:r>
      </w:p>
      <w:p w:rsidR="00D35377" w:rsidRPr="00992A14" w:rsidRDefault="00D35377" w:rsidP="004C494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5A733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Pr="005A7333">
            <w:rPr>
              <w:rStyle w:val="Hyperlink"/>
              <w:rFonts w:ascii="Arial" w:hAnsi="Arial" w:cs="Arial"/>
              <w:sz w:val="20"/>
              <w:szCs w:val="20"/>
            </w:rPr>
            <w:t>@</w:t>
          </w:r>
          <w:r w:rsidRPr="005A733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apmhr.anpm.ro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0266371313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0266310041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77" w:rsidRDefault="00D35377" w:rsidP="00234D38">
      <w:pPr>
        <w:spacing w:after="0" w:line="240" w:lineRule="auto"/>
      </w:pPr>
      <w:r>
        <w:separator/>
      </w:r>
    </w:p>
  </w:footnote>
  <w:footnote w:type="continuationSeparator" w:id="0">
    <w:p w:rsidR="00D35377" w:rsidRDefault="00D35377" w:rsidP="0023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7" w:rsidRPr="00535A6C" w:rsidRDefault="008801E2" w:rsidP="00D3537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801E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4916973" r:id="rId2"/>
      </w:pict>
    </w:r>
    <w:r w:rsidR="00D3537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3537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35377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D35377" w:rsidRPr="00535A6C" w:rsidRDefault="008801E2" w:rsidP="00D35377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3537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3537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D35377" w:rsidRPr="003167DA" w:rsidRDefault="00D35377" w:rsidP="00D35377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D35377" w:rsidRPr="00992A14" w:rsidRDefault="00D35377" w:rsidP="00D35377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D35377" w:rsidRPr="00992A14" w:rsidTr="00D35377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D35377" w:rsidRPr="00992A14" w:rsidRDefault="008801E2" w:rsidP="004C494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3537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3537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D35377" w:rsidRPr="0090788F" w:rsidRDefault="00D35377" w:rsidP="00D35377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598"/>
    <w:multiLevelType w:val="multilevel"/>
    <w:tmpl w:val="0EDC4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74FD5"/>
    <w:multiLevelType w:val="hybridMultilevel"/>
    <w:tmpl w:val="2C925D6E"/>
    <w:lvl w:ilvl="0" w:tplc="F1504B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7E3CBC"/>
    <w:multiLevelType w:val="multilevel"/>
    <w:tmpl w:val="7C5406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9A6CA3"/>
    <w:multiLevelType w:val="multilevel"/>
    <w:tmpl w:val="FA7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4A006B"/>
    <w:multiLevelType w:val="hybridMultilevel"/>
    <w:tmpl w:val="56EC1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46897"/>
    <w:multiLevelType w:val="hybridMultilevel"/>
    <w:tmpl w:val="1072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K3jlmcY4d/rc81Ylf9f1hWxzZM=" w:salt="so2rRCk/qIQU2l6p0dyhx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34D38"/>
    <w:rsid w:val="00000BE7"/>
    <w:rsid w:val="00047D25"/>
    <w:rsid w:val="002273A6"/>
    <w:rsid w:val="00234D38"/>
    <w:rsid w:val="00416FD5"/>
    <w:rsid w:val="004B4457"/>
    <w:rsid w:val="004C494B"/>
    <w:rsid w:val="004E0854"/>
    <w:rsid w:val="005A561C"/>
    <w:rsid w:val="005B7F5B"/>
    <w:rsid w:val="006041E5"/>
    <w:rsid w:val="006809B9"/>
    <w:rsid w:val="006B60C4"/>
    <w:rsid w:val="00706C97"/>
    <w:rsid w:val="007812F6"/>
    <w:rsid w:val="008801E2"/>
    <w:rsid w:val="00891EC0"/>
    <w:rsid w:val="00892CDB"/>
    <w:rsid w:val="00AD5D08"/>
    <w:rsid w:val="00B0485B"/>
    <w:rsid w:val="00B756FE"/>
    <w:rsid w:val="00D35377"/>
    <w:rsid w:val="00DB58BE"/>
    <w:rsid w:val="00DC2D81"/>
    <w:rsid w:val="00E2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91D82"/>
    <w:rsid w:val="007B0800"/>
    <w:rsid w:val="007B66A3"/>
    <w:rsid w:val="007E25EC"/>
    <w:rsid w:val="007E3753"/>
    <w:rsid w:val="00815DBD"/>
    <w:rsid w:val="00824566"/>
    <w:rsid w:val="008B1679"/>
    <w:rsid w:val="008B4D2D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E3F12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D8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041d4d6-7ed1-4444-afba-7cacbff9d00a","Numar":null,"Data":null,"NumarActReglementareInitial":null,"DataActReglementareInitial":null,"DataInceput":null,"DataSfarsit":null,"Durata":null,"PunctLucruId":262152.0,"TipActId":4.0,"NumarCerere":null,"DataCerere":null,"NumarCerereScriptic":"2003","DataCerereScriptic":"2016-02-29T00:00:00","CodFiscal":null,"SordId":"(361E9E68-B2D5-9F7F-C563-701415CE6955)","SablonSordId":"(8B66777B-56B9-65A9-2773-1FA4A6BC21FB)","DosarSordId":"3347900","LatitudineWgs84":null,"LongitudineWgs84":null,"LatitudineStereo70":null,"LongitudineStereo70":null,"NumarAutorizatieGospodarireApe":null,"DataAutorizatieGospodarireApe":null,"DurataAutorizatieGospodarireApe":null,"Aba":null,"Sga":null,"AdresaSediuSocial":"Str. GARII, Nr. 600, Sâncrăieni,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6B10AC9-2905-4A67-B9B8-1814A2D7579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420BBB5-EC16-4DDE-BFAF-FD8E13591C7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D1CA45C5-0846-4CCB-BCBF-38458FCFE40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82B22D9-BD61-47AB-8458-3400B993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1165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7797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bartalis.gyongyver</cp:lastModifiedBy>
  <cp:revision>13</cp:revision>
  <cp:lastPrinted>2014-04-25T12:16:00Z</cp:lastPrinted>
  <dcterms:created xsi:type="dcterms:W3CDTF">2015-10-26T07:49:00Z</dcterms:created>
  <dcterms:modified xsi:type="dcterms:W3CDTF">2016-05-16T12:16:00Z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PERLA HARGHITEI Hala productie</vt:lpwstr>
  </property>
  <property fmtid="{D5CDD505-2E9C-101B-9397-08002B2CF9AE}" pid="5" name="SordId">
    <vt:lpwstr>(361E9E68-B2D5-9F7F-C563-701415CE6955)</vt:lpwstr>
  </property>
  <property fmtid="{D5CDD505-2E9C-101B-9397-08002B2CF9AE}" pid="6" name="VersiuneDocument">
    <vt:lpwstr>12</vt:lpwstr>
  </property>
  <property fmtid="{D5CDD505-2E9C-101B-9397-08002B2CF9AE}" pid="7" name="RuntimeGuid">
    <vt:lpwstr>05ae937a-5f7d-4da7-9801-084907e0805c</vt:lpwstr>
  </property>
  <property fmtid="{D5CDD505-2E9C-101B-9397-08002B2CF9AE}" pid="8" name="PunctLucruId">
    <vt:lpwstr>262152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3347900</vt:lpwstr>
  </property>
  <property fmtid="{D5CDD505-2E9C-101B-9397-08002B2CF9AE}" pid="11" name="DosarCerereSordId">
    <vt:lpwstr>3169926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b041d4d6-7ed1-4444-afba-7cacbff9d00a</vt:lpwstr>
  </property>
  <property fmtid="{D5CDD505-2E9C-101B-9397-08002B2CF9AE}" pid="16" name="CommitRoles">
    <vt:lpwstr>false</vt:lpwstr>
  </property>
</Properties>
</file>