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4F3547">
        <w:t xml:space="preserve">3816 </w:t>
      </w:r>
      <w:r w:rsidR="00C3794E">
        <w:t xml:space="preserve"> din </w:t>
      </w:r>
      <w:r w:rsidR="004F3547">
        <w:t>04 mai</w:t>
      </w:r>
      <w:r w:rsidR="001272B2">
        <w:t xml:space="preserve"> 2016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4F3547">
        <w:rPr>
          <w:b/>
          <w:sz w:val="32"/>
        </w:rPr>
        <w:t xml:space="preserve">04 mai </w:t>
      </w:r>
      <w:r w:rsidR="00C74781">
        <w:rPr>
          <w:b/>
          <w:sz w:val="32"/>
        </w:rPr>
        <w:t>201</w:t>
      </w:r>
      <w:r w:rsidR="001272B2">
        <w:rPr>
          <w:b/>
          <w:sz w:val="32"/>
        </w:rPr>
        <w:t>6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TableGrid"/>
        <w:tblW w:w="11199" w:type="dxa"/>
        <w:tblInd w:w="108" w:type="dxa"/>
        <w:tblLook w:val="04A0"/>
      </w:tblPr>
      <w:tblGrid>
        <w:gridCol w:w="2430"/>
        <w:gridCol w:w="2263"/>
        <w:gridCol w:w="2395"/>
        <w:gridCol w:w="2273"/>
        <w:gridCol w:w="1838"/>
      </w:tblGrid>
      <w:tr w:rsidR="004F3547" w:rsidTr="0023110D">
        <w:tc>
          <w:tcPr>
            <w:tcW w:w="2430" w:type="dxa"/>
          </w:tcPr>
          <w:p w:rsidR="004F3547" w:rsidRDefault="004F3547" w:rsidP="00885C5A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RIP-ROP S.R.L. </w:t>
            </w:r>
          </w:p>
        </w:tc>
        <w:tc>
          <w:tcPr>
            <w:tcW w:w="2263" w:type="dxa"/>
          </w:tcPr>
          <w:p w:rsidR="004F3547" w:rsidRDefault="004F3547" w:rsidP="00885C5A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Brutărie</w:t>
            </w:r>
          </w:p>
        </w:tc>
        <w:tc>
          <w:tcPr>
            <w:tcW w:w="2395" w:type="dxa"/>
          </w:tcPr>
          <w:p w:rsidR="004F3547" w:rsidRDefault="004F3547" w:rsidP="00885C5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Odorheiu-Secuiesc, str. Budvar nr.40</w:t>
            </w:r>
          </w:p>
        </w:tc>
        <w:tc>
          <w:tcPr>
            <w:tcW w:w="2273" w:type="dxa"/>
          </w:tcPr>
          <w:p w:rsidR="004F3547" w:rsidRPr="000F0F04" w:rsidRDefault="004F3547" w:rsidP="002D7A7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de conformare</w:t>
            </w:r>
          </w:p>
        </w:tc>
        <w:tc>
          <w:tcPr>
            <w:tcW w:w="1838" w:type="dxa"/>
          </w:tcPr>
          <w:p w:rsidR="004F3547" w:rsidRDefault="004F3547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Enikö</w:t>
            </w:r>
            <w:proofErr w:type="spellEnd"/>
          </w:p>
        </w:tc>
      </w:tr>
      <w:tr w:rsidR="004F3547" w:rsidTr="0023110D">
        <w:tc>
          <w:tcPr>
            <w:tcW w:w="2430" w:type="dxa"/>
          </w:tcPr>
          <w:p w:rsidR="004F3547" w:rsidRDefault="004F3547" w:rsidP="00885C5A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ZETABIR S.R.L.</w:t>
            </w:r>
          </w:p>
        </w:tc>
        <w:tc>
          <w:tcPr>
            <w:tcW w:w="2263" w:type="dxa"/>
          </w:tcPr>
          <w:p w:rsidR="004F3547" w:rsidRDefault="004F3547" w:rsidP="00885C5A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Prelucrarea fructelor şi legumelor</w:t>
            </w:r>
          </w:p>
        </w:tc>
        <w:tc>
          <w:tcPr>
            <w:tcW w:w="2395" w:type="dxa"/>
          </w:tcPr>
          <w:p w:rsidR="004F3547" w:rsidRDefault="004F3547" w:rsidP="00885C5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Zetea nr.987/A</w:t>
            </w:r>
          </w:p>
        </w:tc>
        <w:tc>
          <w:tcPr>
            <w:tcW w:w="2273" w:type="dxa"/>
          </w:tcPr>
          <w:p w:rsidR="004F3547" w:rsidRDefault="004F3547" w:rsidP="00AD1E4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de conformare</w:t>
            </w:r>
          </w:p>
        </w:tc>
        <w:tc>
          <w:tcPr>
            <w:tcW w:w="1838" w:type="dxa"/>
          </w:tcPr>
          <w:p w:rsidR="004F3547" w:rsidRDefault="004F3547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Enikö</w:t>
            </w:r>
            <w:proofErr w:type="spellEnd"/>
          </w:p>
        </w:tc>
      </w:tr>
      <w:tr w:rsidR="004F3547" w:rsidTr="0023110D">
        <w:tc>
          <w:tcPr>
            <w:tcW w:w="2430" w:type="dxa"/>
          </w:tcPr>
          <w:p w:rsidR="004F3547" w:rsidRPr="00227CF0" w:rsidRDefault="004F3547" w:rsidP="00885C5A">
            <w:pPr>
              <w:pStyle w:val="Heading1"/>
              <w:rPr>
                <w:b w:val="0"/>
                <w:caps/>
                <w:szCs w:val="24"/>
              </w:rPr>
            </w:pPr>
            <w:r w:rsidRPr="00227CF0">
              <w:rPr>
                <w:b w:val="0"/>
                <w:caps/>
                <w:szCs w:val="24"/>
              </w:rPr>
              <w:t>BENRECYCLING SRL</w:t>
            </w:r>
          </w:p>
        </w:tc>
        <w:tc>
          <w:tcPr>
            <w:tcW w:w="2263" w:type="dxa"/>
          </w:tcPr>
          <w:p w:rsidR="004F3547" w:rsidRDefault="004F3547" w:rsidP="00885C5A">
            <w:pPr>
              <w:rPr>
                <w:sz w:val="24"/>
                <w:szCs w:val="24"/>
              </w:rPr>
            </w:pPr>
            <w:r w:rsidRPr="00611C31">
              <w:rPr>
                <w:sz w:val="22"/>
                <w:szCs w:val="24"/>
              </w:rPr>
              <w:t>Colectarea şi tratarea deşeurilor nepericuloase</w:t>
            </w:r>
          </w:p>
        </w:tc>
        <w:tc>
          <w:tcPr>
            <w:tcW w:w="2395" w:type="dxa"/>
          </w:tcPr>
          <w:p w:rsidR="004F3547" w:rsidRDefault="004F3547" w:rsidP="0088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Avrămeşti, </w:t>
            </w:r>
            <w:proofErr w:type="spellStart"/>
            <w:r>
              <w:rPr>
                <w:sz w:val="24"/>
                <w:szCs w:val="24"/>
              </w:rPr>
              <w:t>Cecheşti</w:t>
            </w:r>
            <w:proofErr w:type="spellEnd"/>
            <w:r>
              <w:rPr>
                <w:sz w:val="24"/>
                <w:szCs w:val="24"/>
              </w:rPr>
              <w:t>, nr. 157</w:t>
            </w:r>
          </w:p>
        </w:tc>
        <w:tc>
          <w:tcPr>
            <w:tcW w:w="2273" w:type="dxa"/>
          </w:tcPr>
          <w:p w:rsidR="004F3547" w:rsidRPr="000F0F04" w:rsidRDefault="004F3547" w:rsidP="00AD1E4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de conformare</w:t>
            </w:r>
          </w:p>
        </w:tc>
        <w:tc>
          <w:tcPr>
            <w:tcW w:w="1838" w:type="dxa"/>
          </w:tcPr>
          <w:p w:rsidR="004F3547" w:rsidRDefault="004F3547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4F3547" w:rsidTr="0023110D">
        <w:tc>
          <w:tcPr>
            <w:tcW w:w="2430" w:type="dxa"/>
          </w:tcPr>
          <w:p w:rsidR="004F3547" w:rsidRPr="00611C31" w:rsidRDefault="004F3547" w:rsidP="00885C5A">
            <w:pPr>
              <w:rPr>
                <w:caps/>
                <w:sz w:val="22"/>
                <w:szCs w:val="24"/>
              </w:rPr>
            </w:pPr>
            <w:r w:rsidRPr="00611C31">
              <w:rPr>
                <w:caps/>
                <w:sz w:val="22"/>
                <w:szCs w:val="24"/>
              </w:rPr>
              <w:t>WOOD-LEGENDS S.R.L.-D</w:t>
            </w:r>
          </w:p>
        </w:tc>
        <w:tc>
          <w:tcPr>
            <w:tcW w:w="2263" w:type="dxa"/>
          </w:tcPr>
          <w:p w:rsidR="004F3547" w:rsidRPr="00611C31" w:rsidRDefault="004F3547" w:rsidP="00885C5A">
            <w:pPr>
              <w:ind w:right="11"/>
              <w:rPr>
                <w:sz w:val="22"/>
                <w:szCs w:val="24"/>
              </w:rPr>
            </w:pPr>
            <w:r w:rsidRPr="00611C31">
              <w:rPr>
                <w:sz w:val="22"/>
                <w:szCs w:val="24"/>
              </w:rPr>
              <w:t>Atelier de prelucrare lemn</w:t>
            </w:r>
          </w:p>
        </w:tc>
        <w:tc>
          <w:tcPr>
            <w:tcW w:w="2395" w:type="dxa"/>
          </w:tcPr>
          <w:p w:rsidR="004F3547" w:rsidRPr="00611C31" w:rsidRDefault="004F3547" w:rsidP="00885C5A">
            <w:pPr>
              <w:ind w:right="34"/>
              <w:rPr>
                <w:sz w:val="22"/>
                <w:szCs w:val="24"/>
              </w:rPr>
            </w:pPr>
            <w:proofErr w:type="spellStart"/>
            <w:r w:rsidRPr="00611C31">
              <w:rPr>
                <w:sz w:val="22"/>
                <w:szCs w:val="24"/>
              </w:rPr>
              <w:t>Com</w:t>
            </w:r>
            <w:proofErr w:type="spellEnd"/>
            <w:r w:rsidRPr="00611C31">
              <w:rPr>
                <w:sz w:val="22"/>
                <w:szCs w:val="24"/>
              </w:rPr>
              <w:t>. Joseni, sat Joseni, nr. 124</w:t>
            </w:r>
          </w:p>
        </w:tc>
        <w:tc>
          <w:tcPr>
            <w:tcW w:w="2273" w:type="dxa"/>
          </w:tcPr>
          <w:p w:rsidR="004F3547" w:rsidRPr="000F0F04" w:rsidRDefault="004F3547" w:rsidP="00AD1E4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de conformare</w:t>
            </w:r>
          </w:p>
        </w:tc>
        <w:tc>
          <w:tcPr>
            <w:tcW w:w="1838" w:type="dxa"/>
          </w:tcPr>
          <w:p w:rsidR="004F3547" w:rsidRDefault="004F3547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4F3547" w:rsidTr="0023110D">
        <w:tc>
          <w:tcPr>
            <w:tcW w:w="2430" w:type="dxa"/>
          </w:tcPr>
          <w:p w:rsidR="004F3547" w:rsidRPr="00611C31" w:rsidRDefault="004F3547" w:rsidP="00885C5A">
            <w:pPr>
              <w:rPr>
                <w:caps/>
                <w:sz w:val="22"/>
                <w:szCs w:val="24"/>
              </w:rPr>
            </w:pPr>
            <w:r w:rsidRPr="00611C31">
              <w:rPr>
                <w:caps/>
                <w:sz w:val="22"/>
                <w:szCs w:val="24"/>
              </w:rPr>
              <w:t xml:space="preserve">IRIS SERVICE CIUC S.A. </w:t>
            </w:r>
          </w:p>
        </w:tc>
        <w:tc>
          <w:tcPr>
            <w:tcW w:w="2263" w:type="dxa"/>
          </w:tcPr>
          <w:p w:rsidR="004F3547" w:rsidRPr="00611C31" w:rsidRDefault="004F3547" w:rsidP="00885C5A">
            <w:pPr>
              <w:ind w:right="11"/>
              <w:rPr>
                <w:sz w:val="22"/>
                <w:szCs w:val="24"/>
              </w:rPr>
            </w:pPr>
            <w:r w:rsidRPr="00611C31">
              <w:rPr>
                <w:sz w:val="22"/>
                <w:szCs w:val="24"/>
              </w:rPr>
              <w:t>Prelucrarea superioară a lemnului</w:t>
            </w:r>
          </w:p>
        </w:tc>
        <w:tc>
          <w:tcPr>
            <w:tcW w:w="2395" w:type="dxa"/>
          </w:tcPr>
          <w:p w:rsidR="004F3547" w:rsidRPr="00611C31" w:rsidRDefault="004F3547" w:rsidP="00885C5A">
            <w:pPr>
              <w:ind w:right="34"/>
              <w:rPr>
                <w:sz w:val="22"/>
                <w:szCs w:val="24"/>
              </w:rPr>
            </w:pPr>
            <w:r w:rsidRPr="00611C31">
              <w:rPr>
                <w:sz w:val="22"/>
                <w:szCs w:val="24"/>
              </w:rPr>
              <w:t>Mun. Miercurea Ciuc, str. Harghita, nr. 97</w:t>
            </w:r>
          </w:p>
        </w:tc>
        <w:tc>
          <w:tcPr>
            <w:tcW w:w="2273" w:type="dxa"/>
          </w:tcPr>
          <w:p w:rsidR="004F3547" w:rsidRPr="00611C31" w:rsidRDefault="004F3547" w:rsidP="00885C5A">
            <w:pPr>
              <w:ind w:right="34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Fără program de conformare</w:t>
            </w:r>
          </w:p>
        </w:tc>
        <w:tc>
          <w:tcPr>
            <w:tcW w:w="1838" w:type="dxa"/>
          </w:tcPr>
          <w:p w:rsidR="004F3547" w:rsidRPr="000F0F04" w:rsidRDefault="004F3547" w:rsidP="00885C5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 István</w:t>
            </w:r>
          </w:p>
        </w:tc>
      </w:tr>
    </w:tbl>
    <w:p w:rsidR="00491C24" w:rsidRDefault="00491C24" w:rsidP="00E567A3">
      <w:pPr>
        <w:jc w:val="both"/>
      </w:pPr>
    </w:p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6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567A3"/>
    <w:rsid w:val="0000423D"/>
    <w:rsid w:val="000063C9"/>
    <w:rsid w:val="00012086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3110D"/>
    <w:rsid w:val="00232927"/>
    <w:rsid w:val="00233D2C"/>
    <w:rsid w:val="00235534"/>
    <w:rsid w:val="002365CC"/>
    <w:rsid w:val="0024410D"/>
    <w:rsid w:val="002511AF"/>
    <w:rsid w:val="00254ADB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43F03"/>
    <w:rsid w:val="00345D56"/>
    <w:rsid w:val="00366C11"/>
    <w:rsid w:val="00384DF6"/>
    <w:rsid w:val="00394DB5"/>
    <w:rsid w:val="00397207"/>
    <w:rsid w:val="003A5741"/>
    <w:rsid w:val="003A5B8F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F85"/>
    <w:rsid w:val="0057765D"/>
    <w:rsid w:val="005822BE"/>
    <w:rsid w:val="00583787"/>
    <w:rsid w:val="005861B9"/>
    <w:rsid w:val="00586DA4"/>
    <w:rsid w:val="0059718E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27711"/>
    <w:rsid w:val="00727F95"/>
    <w:rsid w:val="007435EE"/>
    <w:rsid w:val="00762B90"/>
    <w:rsid w:val="0076350B"/>
    <w:rsid w:val="00766188"/>
    <w:rsid w:val="0076642A"/>
    <w:rsid w:val="007667A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12B2"/>
    <w:rsid w:val="00B0699C"/>
    <w:rsid w:val="00B13894"/>
    <w:rsid w:val="00B13EE2"/>
    <w:rsid w:val="00B267B8"/>
    <w:rsid w:val="00B62C7F"/>
    <w:rsid w:val="00B6697D"/>
    <w:rsid w:val="00B67378"/>
    <w:rsid w:val="00B80143"/>
    <w:rsid w:val="00B80718"/>
    <w:rsid w:val="00B81091"/>
    <w:rsid w:val="00B81783"/>
    <w:rsid w:val="00B86B8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5A30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61068"/>
    <w:rsid w:val="00F71397"/>
    <w:rsid w:val="00F77499"/>
    <w:rsid w:val="00F8630C"/>
    <w:rsid w:val="00F86DA6"/>
    <w:rsid w:val="00F96459"/>
    <w:rsid w:val="00FC4CF9"/>
    <w:rsid w:val="00FC5873"/>
    <w:rsid w:val="00FC7F38"/>
    <w:rsid w:val="00FE1157"/>
    <w:rsid w:val="00FE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m.ro/web/apm-harghita/drafturi-autorizatii-de-me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655-1558-43A6-8CD0-82ABB33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51</cp:revision>
  <cp:lastPrinted>2016-02-09T08:27:00Z</cp:lastPrinted>
  <dcterms:created xsi:type="dcterms:W3CDTF">2014-07-29T07:06:00Z</dcterms:created>
  <dcterms:modified xsi:type="dcterms:W3CDTF">2016-05-09T10:08:00Z</dcterms:modified>
</cp:coreProperties>
</file>