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333CCA">
        <w:t>2040</w:t>
      </w:r>
      <w:r w:rsidR="00C3794E">
        <w:t xml:space="preserve"> din </w:t>
      </w:r>
      <w:r w:rsidR="00333CCA">
        <w:t>01 martie</w:t>
      </w:r>
      <w:r w:rsidR="001272B2">
        <w:t xml:space="preserve"> 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333CCA">
        <w:rPr>
          <w:b/>
          <w:sz w:val="32"/>
        </w:rPr>
        <w:t>01 martie</w:t>
      </w:r>
      <w:r>
        <w:rPr>
          <w:b/>
          <w:sz w:val="32"/>
        </w:rPr>
        <w:t xml:space="preserve"> </w:t>
      </w:r>
      <w:r w:rsidR="00C74781">
        <w:rPr>
          <w:b/>
          <w:sz w:val="32"/>
        </w:rPr>
        <w:t>201</w:t>
      </w:r>
      <w:r w:rsidR="001272B2">
        <w:rPr>
          <w:b/>
          <w:sz w:val="32"/>
        </w:rPr>
        <w:t>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333CCA" w:rsidTr="0023110D">
        <w:tc>
          <w:tcPr>
            <w:tcW w:w="2430" w:type="dxa"/>
          </w:tcPr>
          <w:p w:rsidR="00333CCA" w:rsidRPr="000F0F04" w:rsidRDefault="00333CCA" w:rsidP="00DE5C30">
            <w:pPr>
              <w:rPr>
                <w:caps/>
                <w:sz w:val="24"/>
                <w:szCs w:val="24"/>
              </w:rPr>
            </w:pPr>
            <w:r w:rsidRPr="000F0F04">
              <w:rPr>
                <w:caps/>
                <w:sz w:val="24"/>
                <w:szCs w:val="24"/>
              </w:rPr>
              <w:t>ORION S.R.L.</w:t>
            </w:r>
          </w:p>
        </w:tc>
        <w:tc>
          <w:tcPr>
            <w:tcW w:w="2263" w:type="dxa"/>
          </w:tcPr>
          <w:p w:rsidR="00333CCA" w:rsidRPr="000F0F04" w:rsidRDefault="00333CCA" w:rsidP="00DE5C30">
            <w:pPr>
              <w:ind w:right="11"/>
              <w:rPr>
                <w:sz w:val="24"/>
                <w:szCs w:val="24"/>
              </w:rPr>
            </w:pPr>
            <w:r w:rsidRPr="000F0F04">
              <w:rPr>
                <w:sz w:val="24"/>
                <w:szCs w:val="24"/>
              </w:rPr>
              <w:t>Spălătorie auto</w:t>
            </w:r>
          </w:p>
        </w:tc>
        <w:tc>
          <w:tcPr>
            <w:tcW w:w="2395" w:type="dxa"/>
          </w:tcPr>
          <w:p w:rsidR="00333CCA" w:rsidRPr="000F0F04" w:rsidRDefault="00333CCA" w:rsidP="00DE5C30">
            <w:pPr>
              <w:ind w:right="34"/>
              <w:rPr>
                <w:sz w:val="24"/>
                <w:szCs w:val="24"/>
              </w:rPr>
            </w:pPr>
            <w:r w:rsidRPr="000F0F04">
              <w:rPr>
                <w:sz w:val="24"/>
                <w:szCs w:val="24"/>
              </w:rPr>
              <w:t>Joseni, nr. 93</w:t>
            </w:r>
          </w:p>
        </w:tc>
        <w:tc>
          <w:tcPr>
            <w:tcW w:w="2273" w:type="dxa"/>
          </w:tcPr>
          <w:p w:rsidR="00333CCA" w:rsidRPr="004D657E" w:rsidRDefault="00333CCA" w:rsidP="004E78EF">
            <w:pPr>
              <w:ind w:right="34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333CCA" w:rsidRDefault="00333CCA" w:rsidP="009B778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333CCA" w:rsidTr="0023110D">
        <w:tc>
          <w:tcPr>
            <w:tcW w:w="2430" w:type="dxa"/>
          </w:tcPr>
          <w:p w:rsidR="00333CCA" w:rsidRPr="000F0F04" w:rsidRDefault="00333CCA" w:rsidP="00DE5C30">
            <w:pPr>
              <w:rPr>
                <w:caps/>
                <w:sz w:val="24"/>
                <w:szCs w:val="24"/>
              </w:rPr>
            </w:pPr>
            <w:r w:rsidRPr="000F0F04">
              <w:rPr>
                <w:caps/>
                <w:sz w:val="24"/>
                <w:szCs w:val="24"/>
              </w:rPr>
              <w:t>RAPID FOREST S.R.L.</w:t>
            </w:r>
          </w:p>
        </w:tc>
        <w:tc>
          <w:tcPr>
            <w:tcW w:w="2263" w:type="dxa"/>
          </w:tcPr>
          <w:p w:rsidR="00333CCA" w:rsidRPr="000F0F04" w:rsidRDefault="00333CCA" w:rsidP="00DE5C30">
            <w:pPr>
              <w:ind w:right="11"/>
              <w:rPr>
                <w:sz w:val="24"/>
                <w:szCs w:val="24"/>
              </w:rPr>
            </w:pPr>
            <w:r w:rsidRPr="000F0F04">
              <w:rPr>
                <w:sz w:val="24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333CCA" w:rsidRPr="000F0F04" w:rsidRDefault="00333CCA" w:rsidP="00DE5C30">
            <w:pPr>
              <w:ind w:right="34"/>
              <w:rPr>
                <w:sz w:val="24"/>
                <w:szCs w:val="24"/>
              </w:rPr>
            </w:pPr>
            <w:r w:rsidRPr="000F0F04">
              <w:rPr>
                <w:sz w:val="24"/>
                <w:szCs w:val="24"/>
              </w:rPr>
              <w:t>Judeţele Harghita şi Dâmboviţa</w:t>
            </w:r>
          </w:p>
        </w:tc>
        <w:tc>
          <w:tcPr>
            <w:tcW w:w="2273" w:type="dxa"/>
          </w:tcPr>
          <w:p w:rsidR="00333CCA" w:rsidRPr="008C4769" w:rsidRDefault="00333CCA" w:rsidP="00DB509F">
            <w:r>
              <w:rPr>
                <w:sz w:val="24"/>
                <w:szCs w:val="24"/>
              </w:rPr>
              <w:t>Revizuire fără program pentru conformare</w:t>
            </w:r>
          </w:p>
        </w:tc>
        <w:tc>
          <w:tcPr>
            <w:tcW w:w="1838" w:type="dxa"/>
          </w:tcPr>
          <w:p w:rsidR="00333CCA" w:rsidRDefault="00333CCA" w:rsidP="009B778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Mihály István </w:t>
            </w:r>
          </w:p>
        </w:tc>
      </w:tr>
      <w:tr w:rsidR="00333CCA" w:rsidTr="0023110D">
        <w:tc>
          <w:tcPr>
            <w:tcW w:w="2430" w:type="dxa"/>
          </w:tcPr>
          <w:p w:rsidR="00333CCA" w:rsidRPr="000F0F04" w:rsidRDefault="00333CCA" w:rsidP="00DE5C30">
            <w:pPr>
              <w:rPr>
                <w:caps/>
                <w:sz w:val="24"/>
                <w:szCs w:val="24"/>
              </w:rPr>
            </w:pPr>
            <w:r w:rsidRPr="000F0F04">
              <w:rPr>
                <w:caps/>
                <w:sz w:val="24"/>
                <w:szCs w:val="24"/>
              </w:rPr>
              <w:t>IFET VĂRŞAG S.R.L.</w:t>
            </w:r>
          </w:p>
        </w:tc>
        <w:tc>
          <w:tcPr>
            <w:tcW w:w="2263" w:type="dxa"/>
          </w:tcPr>
          <w:p w:rsidR="00333CCA" w:rsidRPr="000F0F04" w:rsidRDefault="00333CCA" w:rsidP="00DE5C30">
            <w:pPr>
              <w:ind w:right="11"/>
              <w:rPr>
                <w:sz w:val="24"/>
                <w:szCs w:val="24"/>
              </w:rPr>
            </w:pPr>
            <w:r w:rsidRPr="000F0F04">
              <w:rPr>
                <w:sz w:val="24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333CCA" w:rsidRPr="000F0F04" w:rsidRDefault="00333CCA" w:rsidP="00DE5C30">
            <w:pPr>
              <w:ind w:right="34"/>
              <w:rPr>
                <w:sz w:val="24"/>
                <w:szCs w:val="24"/>
              </w:rPr>
            </w:pPr>
            <w:r w:rsidRPr="000F0F04">
              <w:rPr>
                <w:sz w:val="24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333CCA" w:rsidRDefault="00333CCA" w:rsidP="00DB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fără program pentru conformare</w:t>
            </w:r>
          </w:p>
        </w:tc>
        <w:tc>
          <w:tcPr>
            <w:tcW w:w="1838" w:type="dxa"/>
          </w:tcPr>
          <w:p w:rsidR="00333CCA" w:rsidRDefault="00333CCA" w:rsidP="009B778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333CCA" w:rsidTr="0023110D">
        <w:tc>
          <w:tcPr>
            <w:tcW w:w="2430" w:type="dxa"/>
          </w:tcPr>
          <w:p w:rsidR="00333CCA" w:rsidRPr="000F0F04" w:rsidRDefault="00333CCA" w:rsidP="00DE5C30">
            <w:pPr>
              <w:rPr>
                <w:caps/>
                <w:sz w:val="24"/>
                <w:szCs w:val="24"/>
              </w:rPr>
            </w:pPr>
            <w:r w:rsidRPr="000F0F04">
              <w:rPr>
                <w:caps/>
                <w:sz w:val="24"/>
                <w:szCs w:val="24"/>
              </w:rPr>
              <w:t>ORIE</w:t>
            </w:r>
            <w:r>
              <w:rPr>
                <w:caps/>
                <w:sz w:val="24"/>
                <w:szCs w:val="24"/>
              </w:rPr>
              <w:t>N</w:t>
            </w:r>
            <w:r w:rsidRPr="000F0F04">
              <w:rPr>
                <w:caps/>
                <w:sz w:val="24"/>
                <w:szCs w:val="24"/>
              </w:rPr>
              <w:t>T PROD S.R.L.</w:t>
            </w:r>
          </w:p>
        </w:tc>
        <w:tc>
          <w:tcPr>
            <w:tcW w:w="2263" w:type="dxa"/>
          </w:tcPr>
          <w:p w:rsidR="00333CCA" w:rsidRPr="000F0F04" w:rsidRDefault="00333CCA" w:rsidP="00DE5C30">
            <w:pPr>
              <w:ind w:right="11"/>
              <w:rPr>
                <w:sz w:val="24"/>
                <w:szCs w:val="24"/>
              </w:rPr>
            </w:pPr>
            <w:r w:rsidRPr="000F0F04">
              <w:rPr>
                <w:sz w:val="24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333CCA" w:rsidRPr="000F0F04" w:rsidRDefault="00333CCA" w:rsidP="00DE5C30">
            <w:pPr>
              <w:ind w:right="34"/>
              <w:rPr>
                <w:sz w:val="24"/>
                <w:szCs w:val="24"/>
              </w:rPr>
            </w:pPr>
            <w:r w:rsidRPr="000F0F04">
              <w:rPr>
                <w:sz w:val="24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333CCA" w:rsidRDefault="00333CCA" w:rsidP="00DB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fără program pentru conformare</w:t>
            </w:r>
          </w:p>
        </w:tc>
        <w:tc>
          <w:tcPr>
            <w:tcW w:w="1838" w:type="dxa"/>
          </w:tcPr>
          <w:p w:rsidR="00333CCA" w:rsidRDefault="00333CCA" w:rsidP="009B778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333CCA" w:rsidTr="0023110D">
        <w:tc>
          <w:tcPr>
            <w:tcW w:w="2430" w:type="dxa"/>
          </w:tcPr>
          <w:p w:rsidR="00333CCA" w:rsidRPr="000F0F04" w:rsidRDefault="00333CCA" w:rsidP="00DE5C30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NICOFOREST S.R.L.</w:t>
            </w:r>
          </w:p>
        </w:tc>
        <w:tc>
          <w:tcPr>
            <w:tcW w:w="2263" w:type="dxa"/>
          </w:tcPr>
          <w:p w:rsidR="00333CCA" w:rsidRPr="000F0F04" w:rsidRDefault="00333CCA" w:rsidP="00DE5C30">
            <w:pPr>
              <w:ind w:right="11"/>
              <w:rPr>
                <w:sz w:val="24"/>
                <w:szCs w:val="24"/>
              </w:rPr>
            </w:pPr>
            <w:r w:rsidRPr="000F0F04">
              <w:rPr>
                <w:sz w:val="24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333CCA" w:rsidRPr="000F0F04" w:rsidRDefault="00333CCA" w:rsidP="00DE5C30">
            <w:pPr>
              <w:ind w:right="34"/>
              <w:rPr>
                <w:sz w:val="24"/>
                <w:szCs w:val="24"/>
              </w:rPr>
            </w:pPr>
            <w:r w:rsidRPr="000F0F04">
              <w:rPr>
                <w:sz w:val="24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333CCA" w:rsidRDefault="00333CCA" w:rsidP="00DB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fără program pentru conformare</w:t>
            </w:r>
          </w:p>
        </w:tc>
        <w:tc>
          <w:tcPr>
            <w:tcW w:w="1838" w:type="dxa"/>
          </w:tcPr>
          <w:p w:rsidR="00333CCA" w:rsidRDefault="00333CCA" w:rsidP="009B778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333CCA" w:rsidTr="0023110D">
        <w:tc>
          <w:tcPr>
            <w:tcW w:w="2430" w:type="dxa"/>
          </w:tcPr>
          <w:p w:rsidR="00333CCA" w:rsidRPr="000F0F04" w:rsidRDefault="00333CCA" w:rsidP="00DE5C30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HIDROENERGIE MONTAN S.R.L.</w:t>
            </w:r>
          </w:p>
        </w:tc>
        <w:tc>
          <w:tcPr>
            <w:tcW w:w="2263" w:type="dxa"/>
          </w:tcPr>
          <w:p w:rsidR="00333CCA" w:rsidRPr="000F0F04" w:rsidRDefault="00333CCA" w:rsidP="00DE5C3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Producere energie electrică</w:t>
            </w:r>
          </w:p>
        </w:tc>
        <w:tc>
          <w:tcPr>
            <w:tcW w:w="2395" w:type="dxa"/>
          </w:tcPr>
          <w:p w:rsidR="00333CCA" w:rsidRPr="000F0F04" w:rsidRDefault="00333CCA" w:rsidP="00DE5C3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Bălan, str. Minei, nr. 1</w:t>
            </w:r>
          </w:p>
        </w:tc>
        <w:tc>
          <w:tcPr>
            <w:tcW w:w="2273" w:type="dxa"/>
          </w:tcPr>
          <w:p w:rsidR="00333CCA" w:rsidRDefault="00333CCA" w:rsidP="00DB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333CCA" w:rsidRDefault="00333CCA" w:rsidP="009B778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</w:tbl>
    <w:p w:rsidR="00491C24" w:rsidRDefault="00491C24" w:rsidP="00E567A3">
      <w:pPr>
        <w:jc w:val="both"/>
      </w:pPr>
    </w:p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r>
              <w:t>ing.Domokos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3CCA"/>
    <w:rsid w:val="00343F03"/>
    <w:rsid w:val="00345D56"/>
    <w:rsid w:val="00366C11"/>
    <w:rsid w:val="00384DF6"/>
    <w:rsid w:val="00394DB5"/>
    <w:rsid w:val="00397207"/>
    <w:rsid w:val="003A5741"/>
    <w:rsid w:val="003A5B8F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66B0"/>
    <w:rsid w:val="004F6714"/>
    <w:rsid w:val="004F73CF"/>
    <w:rsid w:val="00500602"/>
    <w:rsid w:val="00504C5D"/>
    <w:rsid w:val="00506D66"/>
    <w:rsid w:val="00511925"/>
    <w:rsid w:val="00520142"/>
    <w:rsid w:val="00521694"/>
    <w:rsid w:val="00522E53"/>
    <w:rsid w:val="005239D5"/>
    <w:rsid w:val="00524988"/>
    <w:rsid w:val="005319E7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61B9"/>
    <w:rsid w:val="00586DA4"/>
    <w:rsid w:val="0059718E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A5D"/>
    <w:rsid w:val="006B4842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12B2"/>
    <w:rsid w:val="00B0699C"/>
    <w:rsid w:val="00B13894"/>
    <w:rsid w:val="00B13EE2"/>
    <w:rsid w:val="00B267B8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5A30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C4CF9"/>
    <w:rsid w:val="00FC5873"/>
    <w:rsid w:val="00FC7F38"/>
    <w:rsid w:val="00FE1157"/>
    <w:rsid w:val="00FE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50</cp:revision>
  <cp:lastPrinted>2016-02-09T08:27:00Z</cp:lastPrinted>
  <dcterms:created xsi:type="dcterms:W3CDTF">2014-07-29T07:06:00Z</dcterms:created>
  <dcterms:modified xsi:type="dcterms:W3CDTF">2016-03-01T09:36:00Z</dcterms:modified>
</cp:coreProperties>
</file>