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97781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7781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77818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77818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53C6C">
            <w:rPr>
              <w:rFonts w:ascii="Arial" w:hAnsi="Arial" w:cs="Arial"/>
              <w:i w:val="0"/>
              <w:lang w:val="ro-RO"/>
            </w:rPr>
            <w:t>27.10.2017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97781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97781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778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778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7781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553C6C">
            <w:rPr>
              <w:rFonts w:ascii="Arial" w:hAnsi="Arial" w:cs="Arial"/>
              <w:b/>
              <w:sz w:val="24"/>
              <w:szCs w:val="24"/>
              <w:lang w:val="ro-RO"/>
            </w:rPr>
            <w:t>Comuna Darjiu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553C6C">
            <w:rPr>
              <w:rFonts w:ascii="Arial" w:hAnsi="Arial" w:cs="Arial"/>
              <w:sz w:val="24"/>
              <w:szCs w:val="24"/>
              <w:lang w:val="ro-RO"/>
            </w:rPr>
            <w:t>Str. Principala, Nr. 26, Dârjiu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553C6C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553C6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553C6C">
            <w:rPr>
              <w:rFonts w:ascii="Arial" w:hAnsi="Arial" w:cs="Arial"/>
              <w:sz w:val="24"/>
              <w:szCs w:val="24"/>
              <w:lang w:val="ro-RO"/>
            </w:rPr>
            <w:t>8278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9-2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53C6C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77818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53C6C" w:rsidRDefault="00977818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97781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553C6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553C6C">
            <w:rPr>
              <w:rFonts w:ascii="Arial" w:hAnsi="Arial" w:cs="Arial"/>
              <w:sz w:val="24"/>
              <w:szCs w:val="24"/>
              <w:lang w:val="ro-RO"/>
            </w:rPr>
            <w:t>24.10.2017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553C6C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553C6C" w:rsidRPr="00553C6C">
            <w:rPr>
              <w:rFonts w:ascii="Arial" w:hAnsi="Arial" w:cs="Arial"/>
              <w:b/>
              <w:sz w:val="24"/>
              <w:szCs w:val="24"/>
              <w:lang w:val="ro-RO"/>
            </w:rPr>
            <w:t>Conductă de aducțiune între satele Mujna și Lutița</w:t>
          </w:r>
          <w:r w:rsidR="00553C6C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553C6C">
            <w:rPr>
              <w:rFonts w:ascii="Arial" w:hAnsi="Arial" w:cs="Arial"/>
              <w:sz w:val="24"/>
              <w:szCs w:val="24"/>
              <w:lang w:val="ro-RO"/>
            </w:rPr>
            <w:t>comunele Dârjiu și Mugeni satele Mujna și Lutița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7781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9778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9778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553C6C">
            <w:rPr>
              <w:rFonts w:ascii="Arial" w:hAnsi="Arial" w:cs="Arial"/>
              <w:sz w:val="24"/>
              <w:szCs w:val="24"/>
            </w:rPr>
            <w:t>2 la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553C6C">
            <w:rPr>
              <w:rFonts w:ascii="Arial" w:hAnsi="Arial" w:cs="Arial"/>
              <w:sz w:val="24"/>
              <w:szCs w:val="24"/>
            </w:rPr>
            <w:t>13 lit a coroborat cu pct. 10 lit. b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Pr="00522DB9" w:rsidRDefault="0097781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553C6C">
            <w:rPr>
              <w:rFonts w:ascii="Arial" w:hAnsi="Arial" w:cs="Arial"/>
              <w:sz w:val="24"/>
              <w:szCs w:val="24"/>
            </w:rPr>
            <w:t>J</w:t>
          </w:r>
          <w:r w:rsidRPr="00522DB9">
            <w:rPr>
              <w:rFonts w:ascii="Arial" w:hAnsi="Arial" w:cs="Arial"/>
              <w:sz w:val="24"/>
              <w:szCs w:val="24"/>
            </w:rPr>
            <w:t>ustifica</w:t>
          </w:r>
          <w:r w:rsidR="00553C6C">
            <w:rPr>
              <w:rFonts w:ascii="Arial" w:hAnsi="Arial" w:cs="Arial"/>
              <w:sz w:val="24"/>
              <w:szCs w:val="24"/>
            </w:rPr>
            <w:t>rea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Caracteristicile proiectului:</w:t>
          </w:r>
        </w:p>
        <w:p w:rsidR="00835802" w:rsidRDefault="00EB2949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Se va executa o conductă de aducțiune de apă potabilă de L=5640,48m. pentru localitatea Mujna. Conducta de aducțiune apă va fi racordată la sistemul de alimentare cu apă potabilă din localitatea Lutița, comuna Mugeni. </w:t>
          </w:r>
          <w:r w:rsidR="00835802">
            <w:rPr>
              <w:rFonts w:ascii="Arial" w:hAnsi="Arial" w:cs="Arial"/>
              <w:sz w:val="24"/>
              <w:szCs w:val="24"/>
            </w:rPr>
            <w:t>Pe traseul aducțiunii sunt montate următoarele armături:</w:t>
          </w:r>
        </w:p>
        <w:p w:rsidR="00835802" w:rsidRDefault="00835802" w:rsidP="00835802">
          <w:pPr>
            <w:pStyle w:val="Listparagraf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35802">
            <w:rPr>
              <w:rFonts w:ascii="Arial" w:hAnsi="Arial" w:cs="Arial"/>
              <w:sz w:val="24"/>
              <w:szCs w:val="24"/>
            </w:rPr>
            <w:t>Cămin de golire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5 buc.</w:t>
          </w:r>
        </w:p>
        <w:p w:rsidR="00835802" w:rsidRDefault="00835802" w:rsidP="00835802">
          <w:pPr>
            <w:pStyle w:val="Listparagraf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Cămin de aerisire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2 buc. </w:t>
          </w:r>
        </w:p>
        <w:p w:rsidR="00835802" w:rsidRDefault="00835802" w:rsidP="008358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Subtraversări de ape și căi de comunicații:</w:t>
          </w:r>
        </w:p>
        <w:p w:rsidR="00835802" w:rsidRDefault="00835802" w:rsidP="00835802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Subtraversarea Pârâul Caprelor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2 buc.</w:t>
          </w:r>
        </w:p>
        <w:p w:rsidR="00835802" w:rsidRPr="00835802" w:rsidRDefault="00835802" w:rsidP="00835802">
          <w:pPr>
            <w:pStyle w:val="Listparagraf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Subtraversare drum communal DC 15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1 buc.</w:t>
          </w:r>
        </w:p>
        <w:p w:rsidR="0096531F" w:rsidRDefault="00EB2949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În extravilanul localității Lutița se</w:t>
          </w:r>
          <w:r w:rsidR="0096531F">
            <w:rPr>
              <w:rFonts w:ascii="Arial" w:hAnsi="Arial" w:cs="Arial"/>
              <w:sz w:val="24"/>
              <w:szCs w:val="24"/>
            </w:rPr>
            <w:t xml:space="preserve"> va realiza o gospodărie de apă. </w:t>
          </w:r>
        </w:p>
        <w:p w:rsidR="00553C6C" w:rsidRDefault="0096531F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Gospodăria de apă va fi formată din: </w:t>
          </w:r>
        </w:p>
        <w:p w:rsidR="0096531F" w:rsidRPr="00835802" w:rsidRDefault="0096531F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35802">
            <w:rPr>
              <w:rFonts w:ascii="Arial" w:hAnsi="Arial" w:cs="Arial"/>
              <w:sz w:val="24"/>
              <w:szCs w:val="24"/>
            </w:rPr>
            <w:lastRenderedPageBreak/>
            <w:t>Rezervor tampon de capacitate V=50mc, alimentat cu apă potabilă din cadrul stației de tratare Odoheiu Secuiesc, din rețeaua de alimentare cu apă a localității Lutița, prin intermediul conductei de aducțiune</w:t>
          </w:r>
        </w:p>
        <w:p w:rsidR="0096531F" w:rsidRDefault="0096531F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35802">
            <w:rPr>
              <w:rFonts w:ascii="Arial" w:hAnsi="Arial" w:cs="Arial"/>
              <w:sz w:val="24"/>
              <w:szCs w:val="24"/>
            </w:rPr>
            <w:t>Grup de pompare apă de capacitate totală Q=7 mc/h,</w:t>
          </w:r>
        </w:p>
        <w:p w:rsidR="00835802" w:rsidRDefault="00835802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Drumuri și alee</w:t>
          </w:r>
        </w:p>
        <w:p w:rsidR="00835802" w:rsidRDefault="00835802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Rețele în incintă</w:t>
          </w:r>
        </w:p>
        <w:p w:rsidR="00835802" w:rsidRDefault="00835802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Împrejmuire și poartă de acces</w:t>
          </w:r>
        </w:p>
        <w:p w:rsidR="00835802" w:rsidRPr="00835802" w:rsidRDefault="00835802" w:rsidP="00835802">
          <w:pPr>
            <w:pStyle w:val="Listparagraf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Canal de gardă</w:t>
          </w:r>
        </w:p>
        <w:p w:rsidR="00553C6C" w:rsidRPr="00143DB8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</w:rPr>
            <w:t xml:space="preserve">. Cumularea cu alte proiecte: </w:t>
          </w:r>
          <w:r w:rsidR="001C113D">
            <w:rPr>
              <w:rFonts w:ascii="Arial" w:hAnsi="Arial" w:cs="Arial"/>
              <w:sz w:val="24"/>
              <w:szCs w:val="24"/>
            </w:rPr>
            <w:t>este în curs asfaltarea drumului comunal DC15-tronsonul II</w:t>
          </w:r>
        </w:p>
        <w:p w:rsidR="00553C6C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Utilizarea resurselor naturale: </w:t>
          </w:r>
          <w:r w:rsidR="001C113D">
            <w:rPr>
              <w:rFonts w:ascii="Arial" w:hAnsi="Arial" w:cs="Arial"/>
              <w:sz w:val="24"/>
              <w:szCs w:val="24"/>
            </w:rPr>
            <w:t xml:space="preserve">apă, </w:t>
          </w:r>
          <w:r w:rsidR="006F09AE">
            <w:rPr>
              <w:rFonts w:ascii="Arial" w:hAnsi="Arial" w:cs="Arial"/>
              <w:sz w:val="24"/>
              <w:szCs w:val="24"/>
            </w:rPr>
            <w:t>agregate cu densitate normală</w:t>
          </w:r>
        </w:p>
        <w:p w:rsidR="00553C6C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Producţia de deşeuri:</w:t>
          </w:r>
        </w:p>
        <w:p w:rsidR="006F09AE" w:rsidRPr="00CE023E" w:rsidRDefault="00553C6C" w:rsidP="006F09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Deşeurile m</w:t>
          </w:r>
          <w:r>
            <w:rPr>
              <w:rFonts w:ascii="Arial" w:hAnsi="Arial" w:cs="Arial"/>
              <w:sz w:val="24"/>
              <w:szCs w:val="24"/>
              <w:lang w:val="fr-FR"/>
            </w:rPr>
            <w:t>unicipale amestecate (20 03 01) se vor colecte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în europubele adecvate, pe </w:t>
          </w:r>
          <w:r>
            <w:rPr>
              <w:rFonts w:ascii="Arial" w:hAnsi="Arial" w:cs="Arial"/>
              <w:sz w:val="24"/>
              <w:szCs w:val="24"/>
              <w:lang w:val="fr-FR"/>
            </w:rPr>
            <w:t>suprafețele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special amenajate.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 Deşeurile </w:t>
          </w:r>
          <w:r w:rsidR="006F09AE" w:rsidRPr="00CE023E">
            <w:rPr>
              <w:rFonts w:ascii="Arial" w:hAnsi="Arial" w:cs="Arial"/>
              <w:sz w:val="24"/>
              <w:szCs w:val="24"/>
              <w:lang w:val="fr-FR"/>
            </w:rPr>
            <w:t>municipale amestecate vor fi predate operatorului de salubrizare autorizat cu care constructorul va încheia contract pentru eliminare.</w:t>
          </w:r>
        </w:p>
        <w:p w:rsidR="00553C6C" w:rsidRPr="00CE023E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Deşeurile din construcţie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se vor colecta selectiv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și vor fi predate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operatorului de salubrizare autorizat cu care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titularul proiectului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va încheia contract pentru </w:t>
          </w:r>
          <w:r>
            <w:rPr>
              <w:rFonts w:ascii="Arial" w:hAnsi="Arial" w:cs="Arial"/>
              <w:sz w:val="24"/>
              <w:szCs w:val="24"/>
              <w:lang w:val="es-ES"/>
            </w:rPr>
            <w:t>valorificare/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eliminare.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Emisii poluante, inclusiv zgomotul şi alte surse de discomfort: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 emisii în apă: - emisii rezultate din activităţi de construcţii-montaj vor fi reduse şi </w:t>
          </w:r>
          <w:r>
            <w:rPr>
              <w:rFonts w:ascii="Arial" w:hAnsi="Arial" w:cs="Arial"/>
              <w:sz w:val="24"/>
              <w:szCs w:val="24"/>
            </w:rPr>
            <w:t xml:space="preserve">vor fi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temporare. 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-emisii în aer: emisiile rezultate de la utilajele şi mijloacele de transport folosite la executarea lucrărilor corespund din punct de vedere tehnic, astfel evitându-se poluarea mediului prin arderea de combustibil.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-zgomot: maşinile şi utilajele folosite la executarea lucrărilor corespund cerinţelor tehnice de nivel acustic.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Riscul de accident, ţinându-se seama în special de  substanţele şi de tehnologie utilizate: - Nu este cazul.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 xml:space="preserve"> 2. Localizarea proiectului</w:t>
          </w:r>
          <w:r w:rsidRPr="002A00A0">
            <w:rPr>
              <w:rFonts w:ascii="Arial" w:hAnsi="Arial" w:cs="Arial"/>
              <w:sz w:val="24"/>
              <w:szCs w:val="24"/>
            </w:rPr>
            <w:t>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2.1</w:t>
          </w:r>
          <w:r w:rsidRPr="002A00A0">
            <w:rPr>
              <w:rFonts w:ascii="Arial" w:hAnsi="Arial" w:cs="Arial"/>
              <w:sz w:val="24"/>
              <w:szCs w:val="24"/>
            </w:rPr>
            <w:t>.utilizarea existentă a terenului: Amplasa</w:t>
          </w:r>
          <w:r w:rsidRPr="002A00A0">
            <w:rPr>
              <w:rFonts w:ascii="Arial" w:hAnsi="Arial" w:cs="Arial"/>
              <w:sz w:val="24"/>
              <w:szCs w:val="24"/>
              <w:lang w:val="ro-RO"/>
            </w:rPr>
            <w:t xml:space="preserve">mentul </w:t>
          </w:r>
          <w:r>
            <w:rPr>
              <w:rFonts w:ascii="Arial" w:hAnsi="Arial" w:cs="Arial"/>
              <w:sz w:val="24"/>
              <w:szCs w:val="24"/>
            </w:rPr>
            <w:t xml:space="preserve">se află în inravilanul </w:t>
          </w:r>
          <w:r w:rsidR="002C0DB7">
            <w:rPr>
              <w:rFonts w:ascii="Arial" w:hAnsi="Arial" w:cs="Arial"/>
              <w:sz w:val="24"/>
              <w:szCs w:val="24"/>
            </w:rPr>
            <w:t xml:space="preserve">și extravilanul Comunei Dârjiu </w:t>
          </w:r>
          <w:r w:rsidR="002C0DB7" w:rsidRPr="00417691">
            <w:rPr>
              <w:rFonts w:ascii="Arial" w:hAnsi="Arial" w:cs="Arial"/>
              <w:color w:val="FF0000"/>
              <w:sz w:val="24"/>
              <w:szCs w:val="24"/>
            </w:rPr>
            <w:t>și Mugeni</w:t>
          </w:r>
          <w:r w:rsidR="002C0DB7">
            <w:rPr>
              <w:rFonts w:ascii="Arial" w:hAnsi="Arial" w:cs="Arial"/>
              <w:sz w:val="24"/>
              <w:szCs w:val="24"/>
            </w:rPr>
            <w:t xml:space="preserve">, domeniu public, între localitățile Mujna și Lutița, </w:t>
          </w:r>
          <w:r w:rsidRPr="002A00A0">
            <w:rPr>
              <w:rFonts w:ascii="Arial" w:hAnsi="Arial" w:cs="Arial"/>
              <w:sz w:val="24"/>
              <w:szCs w:val="24"/>
            </w:rPr>
            <w:t>conform Certifi</w:t>
          </w:r>
          <w:r>
            <w:rPr>
              <w:rFonts w:ascii="Arial" w:hAnsi="Arial" w:cs="Arial"/>
              <w:sz w:val="24"/>
              <w:szCs w:val="24"/>
            </w:rPr>
            <w:t xml:space="preserve">catului de urbanism nr. </w:t>
          </w:r>
          <w:r w:rsidR="002C0DB7">
            <w:rPr>
              <w:rFonts w:ascii="Arial" w:hAnsi="Arial" w:cs="Arial"/>
              <w:sz w:val="24"/>
              <w:szCs w:val="24"/>
            </w:rPr>
            <w:t>152</w:t>
          </w:r>
          <w:r>
            <w:rPr>
              <w:rFonts w:ascii="Arial" w:hAnsi="Arial" w:cs="Arial"/>
              <w:sz w:val="24"/>
              <w:szCs w:val="24"/>
            </w:rPr>
            <w:t>/</w:t>
          </w:r>
          <w:r w:rsidR="002C0DB7">
            <w:rPr>
              <w:rFonts w:ascii="Arial" w:hAnsi="Arial" w:cs="Arial"/>
              <w:sz w:val="24"/>
              <w:szCs w:val="24"/>
            </w:rPr>
            <w:t>25</w:t>
          </w:r>
          <w:r>
            <w:rPr>
              <w:rFonts w:ascii="Arial" w:hAnsi="Arial" w:cs="Arial"/>
              <w:sz w:val="24"/>
              <w:szCs w:val="24"/>
            </w:rPr>
            <w:t>.0</w:t>
          </w:r>
          <w:r w:rsidR="002C0DB7">
            <w:rPr>
              <w:rFonts w:ascii="Arial" w:hAnsi="Arial" w:cs="Arial"/>
              <w:sz w:val="24"/>
              <w:szCs w:val="24"/>
            </w:rPr>
            <w:t>9</w:t>
          </w:r>
          <w:r w:rsidRPr="002A00A0">
            <w:rPr>
              <w:rFonts w:ascii="Arial" w:hAnsi="Arial" w:cs="Arial"/>
              <w:sz w:val="24"/>
              <w:szCs w:val="24"/>
            </w:rPr>
            <w:t>.201</w:t>
          </w:r>
          <w:r>
            <w:rPr>
              <w:rFonts w:ascii="Arial" w:hAnsi="Arial" w:cs="Arial"/>
              <w:sz w:val="24"/>
              <w:szCs w:val="24"/>
            </w:rPr>
            <w:t>7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emis de </w:t>
          </w:r>
          <w:r w:rsidR="002C0DB7">
            <w:rPr>
              <w:rFonts w:ascii="Arial" w:hAnsi="Arial" w:cs="Arial"/>
              <w:sz w:val="24"/>
              <w:szCs w:val="24"/>
            </w:rPr>
            <w:t>Consiliul Județean Harghita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r w:rsidRPr="002A00A0">
            <w:rPr>
              <w:rFonts w:ascii="Arial" w:hAnsi="Arial" w:cs="Arial"/>
              <w:sz w:val="24"/>
              <w:szCs w:val="24"/>
            </w:rPr>
            <w:t>folosinţă actuală</w:t>
          </w:r>
          <w:r w:rsidR="002C0DB7">
            <w:rPr>
              <w:rFonts w:ascii="Arial" w:hAnsi="Arial" w:cs="Arial"/>
              <w:sz w:val="24"/>
              <w:szCs w:val="24"/>
            </w:rPr>
            <w:t>: zona drumului comunal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sz w:val="24"/>
              <w:szCs w:val="24"/>
            </w:rPr>
            <w:t>2.2</w:t>
          </w:r>
          <w:r w:rsidRPr="002A00A0">
            <w:rPr>
              <w:rFonts w:ascii="Arial" w:hAnsi="Arial" w:cs="Arial"/>
              <w:sz w:val="24"/>
              <w:szCs w:val="24"/>
            </w:rPr>
            <w:t xml:space="preserve">.relativa abundenţă a resurselor naturale din zonă, calitatea şi capacitatea regenerativă a acestora:- nu este cazul 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2.3</w:t>
          </w:r>
          <w:r w:rsidRPr="002A00A0">
            <w:rPr>
              <w:rFonts w:ascii="Arial" w:hAnsi="Arial" w:cs="Arial"/>
              <w:sz w:val="24"/>
              <w:szCs w:val="24"/>
            </w:rPr>
            <w:t>.capacitatea de absorbţie a mediului: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a. zone umede: nu este cazul,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zone costiere: nu este cazul,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c. zone montane şi cele împădurite</w:t>
          </w:r>
          <w:r w:rsidR="00417691">
            <w:rPr>
              <w:rFonts w:ascii="Arial" w:hAnsi="Arial" w:cs="Arial"/>
              <w:sz w:val="24"/>
              <w:szCs w:val="24"/>
            </w:rPr>
            <w:t>: Nu este cazul.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parcuri şi rezervaţii naturale ariile clasificate: nu este cazul,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arii</w:t>
          </w:r>
          <w:r>
            <w:rPr>
              <w:rFonts w:ascii="Arial" w:hAnsi="Arial" w:cs="Arial"/>
              <w:sz w:val="24"/>
              <w:szCs w:val="24"/>
            </w:rPr>
            <w:t xml:space="preserve"> clasificate sau zone protejate</w:t>
          </w:r>
          <w:r w:rsidRPr="002A00A0">
            <w:rPr>
              <w:rFonts w:ascii="Arial" w:hAnsi="Arial" w:cs="Arial"/>
              <w:sz w:val="24"/>
              <w:szCs w:val="24"/>
            </w:rPr>
            <w:t>: nu sunt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zone de protecţie specială mai ales cele desemnate prin Ordonanţa de urgenţă a Guvernului nr. 57/2007 privind regimul ariilor naturale protejate, conservarea habitatelor naturale, a florei şi faunei sălbatice, cu modificările şi completările ulterioare:</w:t>
          </w:r>
          <w:r>
            <w:rPr>
              <w:rFonts w:ascii="Arial" w:hAnsi="Arial" w:cs="Arial"/>
              <w:sz w:val="24"/>
              <w:szCs w:val="24"/>
            </w:rPr>
            <w:t xml:space="preserve"> 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mplasamentul proiectului </w:t>
          </w:r>
          <w:r w:rsidRPr="0095317B">
            <w:rPr>
              <w:rFonts w:ascii="Arial" w:hAnsi="Arial" w:cs="Arial"/>
              <w:b/>
              <w:sz w:val="24"/>
              <w:szCs w:val="24"/>
            </w:rPr>
            <w:t>nu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se află în interiorul ariilor naturale protejat</w:t>
          </w:r>
          <w:r>
            <w:rPr>
              <w:rFonts w:ascii="Arial" w:hAnsi="Arial" w:cs="Arial"/>
              <w:sz w:val="24"/>
              <w:szCs w:val="24"/>
            </w:rPr>
            <w:t>e declarate prin acte normative, ampla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samentul proiectului </w:t>
          </w:r>
          <w:r>
            <w:rPr>
              <w:rFonts w:ascii="Arial" w:hAnsi="Arial" w:cs="Arial"/>
              <w:sz w:val="24"/>
              <w:szCs w:val="24"/>
            </w:rPr>
            <w:t>este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situat </w:t>
          </w:r>
          <w:r>
            <w:rPr>
              <w:rFonts w:ascii="Arial" w:hAnsi="Arial" w:cs="Arial"/>
              <w:sz w:val="24"/>
              <w:szCs w:val="24"/>
            </w:rPr>
            <w:t>la o distanță cca. 1,</w:t>
          </w:r>
          <w:r w:rsidR="00B131F9">
            <w:rPr>
              <w:rFonts w:ascii="Arial" w:hAnsi="Arial" w:cs="Arial"/>
              <w:sz w:val="24"/>
              <w:szCs w:val="24"/>
            </w:rPr>
            <w:t>6k</w:t>
          </w:r>
          <w:r>
            <w:rPr>
              <w:rFonts w:ascii="Arial" w:hAnsi="Arial" w:cs="Arial"/>
              <w:sz w:val="24"/>
              <w:szCs w:val="24"/>
            </w:rPr>
            <w:t xml:space="preserve">m de 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>limit</w:t>
          </w:r>
          <w:r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 xml:space="preserve"> sitului de importanță comunitară Natura20</w:t>
          </w:r>
          <w:r>
            <w:rPr>
              <w:rFonts w:ascii="Arial" w:hAnsi="Arial" w:cs="Arial"/>
              <w:sz w:val="24"/>
              <w:szCs w:val="24"/>
              <w:lang w:val="ro-RO"/>
            </w:rPr>
            <w:t>00 ROSCI03</w:t>
          </w:r>
          <w:r w:rsidR="00B131F9">
            <w:rPr>
              <w:rFonts w:ascii="Arial" w:hAnsi="Arial" w:cs="Arial"/>
              <w:sz w:val="24"/>
              <w:szCs w:val="24"/>
              <w:lang w:val="ro-RO"/>
            </w:rPr>
            <w:t>57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B131F9">
            <w:rPr>
              <w:rFonts w:ascii="Arial" w:hAnsi="Arial" w:cs="Arial"/>
              <w:sz w:val="24"/>
              <w:szCs w:val="24"/>
              <w:lang w:val="ro-RO"/>
            </w:rPr>
            <w:t>„Porumbeni”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h. ariile dens populate: nu este cazul,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i .peisajele cu semnificaţie istorică, culturală şi arheologică: nu este cazul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3.Caracteristicile impactului potenţial: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lastRenderedPageBreak/>
            <w:t xml:space="preserve">În raport cu criteriile stabilite mai sus la pct. 1 şi 2 </w:t>
          </w: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nu au fost identificate efecte semnificative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 posibile, astfel: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a.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extinderea impactului 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it-IT"/>
            </w:rPr>
            <w:t xml:space="preserve">- aria geografică: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redusă,nesemnificativă, 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 numărul persoanelor afectate: prin realizarea proiectului:</w:t>
          </w:r>
          <w:r w:rsidRPr="002A00A0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nu vor fi persoane afectate </w:t>
          </w:r>
          <w:r>
            <w:rPr>
              <w:rFonts w:ascii="Arial" w:hAnsi="Arial" w:cs="Arial"/>
              <w:sz w:val="24"/>
              <w:szCs w:val="24"/>
            </w:rPr>
            <w:t>negativ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natura transfrontieră a impactului: nu este cazul,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c. mărimea şi complexitatea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-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în perioada realizării proiectului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vor rezulta deşeuri,</w:t>
          </w:r>
          <w:r w:rsidR="00B131F9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care vor fi gestionate conform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pct 1.d.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d. probabilitatea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mică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e. durata, frecvenţa şi reversibilitatea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: </w:t>
          </w:r>
        </w:p>
        <w:p w:rsidR="00553C6C" w:rsidRPr="002A00A0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Impact de scurtă durată, numai în timpul executării lucrărilor . Nu rezultă impact remanent. </w:t>
          </w:r>
        </w:p>
        <w:p w:rsidR="00553C6C" w:rsidRPr="00C520F7" w:rsidRDefault="00553C6C" w:rsidP="00553C6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520F7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995364319"/>
            <w:placeholder>
              <w:docPart w:val="07FD0DA2456143899986A92990CE0D72"/>
            </w:placeholder>
          </w:sdtPr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-468356069"/>
                <w:placeholder>
                  <w:docPart w:val="CE51DB22B273443E93F91B2BF2C5DF9E"/>
                </w:placeholder>
              </w:sdtPr>
              <w:sdtContent>
                <w:p w:rsidR="00553C6C" w:rsidRPr="00164932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a) Evitarea poluării solului şi a mediului acvatic cu produse petroliere în urma lucrărilor, a pierderilor de carburanţi de la mijloacele de transport şi de la utilajele folosite în timpul executării lucrărilor 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b) În scopul garantării evitării poluării accidentale a mediului aveţi obligaţia ca să aveţi în dotare materiale absorbante pentru produse petroliere.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c) Este interzisă afectarea terenurilor în afara amplasamentelor autorizate pentru realizarea lucrărilor de investiţii, prin: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-abandonarea, înlăturarea sau eliminarea deşeurilor în locuri neautorizate;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-staţionarea mijloacelor de transport în afara terenurilor desemnate în acest scop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-distrugerea sau degradarea, prin orice mijloace, a vegetaţiei ierboase sau lemnoase;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d) Utilizarea materiilor prime numai din surse autorizate.</w:t>
                  </w:r>
                </w:p>
                <w:p w:rsidR="00553C6C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e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Refacerea mediului şi readucerea în starea iniţială a suprafeţelor afectate prin realizarea proiectului.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f) Respectarea Legii nr. 211/2011 privind regimul deșeurilor cu toate modificările și completările ulterioare;</w:t>
                  </w:r>
                </w:p>
                <w:p w:rsidR="00553C6C" w:rsidRPr="002A00A0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g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Nivelul de zgomot rezultat în timpul lucrărilor şi după punerea în funcţiune a obiectivului  măsurat la 3 m de faţa da celei mai apropiate clădiri de locuit şi la 1,5 m înălţime de la sol - în conformitate cu prevederile prevederile standardului SR ISO nr.  1996/2-08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nu va depăși valorile prevăzute de SR 10009/2017</w:t>
                  </w:r>
                </w:p>
                <w:p w:rsidR="00553C6C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h</w:t>
                  </w:r>
                  <w:r w:rsidR="00B131F9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Se vor respecta prevederile Avizului de gospodărire a apelor nr. 329 din 11.10.2017 emis de Administrația Națională „Apele Române” ,Administrația Bazinală de </w:t>
                  </w:r>
                  <w:r w:rsidR="00E8515D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Apă Mureș privind investiția „Conductă </w:t>
                  </w:r>
                  <w:r w:rsidR="00791C36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de aducțiune între satele Mujna-Lutița, jud. Harghita”;</w:t>
                  </w:r>
                </w:p>
                <w:p w:rsidR="00791C36" w:rsidRPr="00DE5391" w:rsidRDefault="00791C36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i) La realizarea investiției aveți obligația de a solicita și de a obține autorizație de mediu conform OMDD nr. 1798/2007;</w:t>
                  </w:r>
                </w:p>
                <w:p w:rsidR="00553C6C" w:rsidRDefault="00791C36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j</w:t>
                  </w:r>
                  <w:r w:rsidR="00553C6C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    </w:r>
                </w:p>
                <w:p w:rsidR="00553C6C" w:rsidRDefault="00553C6C" w:rsidP="00553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3C6C" w:rsidRPr="003340C1" w:rsidRDefault="00553C6C" w:rsidP="00553C6C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40C1">
                    <w:rPr>
                      <w:rFonts w:ascii="Arial" w:hAnsi="Arial" w:cs="Arial"/>
                      <w:sz w:val="24"/>
                      <w:szCs w:val="24"/>
                    </w:rPr>
                    <w:t>Răspunderea pentru corectitudinea informaţiilor puse la dispoziţia autorităţii competente pentru protecţia mediului şi a publicului, revine în întregime titularului proiectului;</w:t>
                  </w:r>
                </w:p>
                <w:p w:rsidR="00553C6C" w:rsidRDefault="00553C6C" w:rsidP="00553C6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  <w:p w:rsidR="00753675" w:rsidRPr="00522DB9" w:rsidRDefault="0097781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97781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7781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7781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7781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7781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A8C858B407554561B2F334651E180745"/>
            </w:placeholder>
          </w:sdtPr>
          <w:sdtEndPr>
            <w:rPr>
              <w:b w:val="0"/>
            </w:rPr>
          </w:sdtEndPr>
          <w:sdtContent>
            <w:p w:rsidR="00977818" w:rsidRPr="00E67F6A" w:rsidRDefault="00977818" w:rsidP="00977818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977818" w:rsidRPr="00715F3E" w:rsidRDefault="00977818" w:rsidP="00977818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977818" w:rsidRDefault="00977818" w:rsidP="0097781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77818" w:rsidRPr="00E67F6A" w:rsidRDefault="00977818" w:rsidP="0097781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77818" w:rsidRPr="00E67F6A" w:rsidRDefault="00977818" w:rsidP="00977818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977818" w:rsidRDefault="00977818" w:rsidP="00977818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977818" w:rsidRDefault="00977818" w:rsidP="0097781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77818" w:rsidRPr="00E67F6A" w:rsidRDefault="00977818" w:rsidP="00977818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977818" w:rsidRPr="00E67F6A" w:rsidRDefault="00977818" w:rsidP="00977818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977818" w:rsidRDefault="00977818" w:rsidP="00977818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97781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bookmarkStart w:id="0" w:name="_GoBack" w:displacedByCustomXml="next"/>
        <w:bookmarkEnd w:id="0" w:displacedByCustomXml="next"/>
      </w:sdtContent>
    </w:sdt>
    <w:p w:rsidR="00522DB9" w:rsidRPr="00447422" w:rsidRDefault="009778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7781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778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778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7781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778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7781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7818">
      <w:pPr>
        <w:spacing w:after="0" w:line="240" w:lineRule="auto"/>
      </w:pPr>
      <w:r>
        <w:separator/>
      </w:r>
    </w:p>
  </w:endnote>
  <w:endnote w:type="continuationSeparator" w:id="0">
    <w:p w:rsidR="00000000" w:rsidRDefault="0097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977818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977818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C6C" w:rsidRDefault="00553C6C" w:rsidP="00553C6C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-1570875143"/>
        </w:sdtPr>
        <w:sdtEndPr>
          <w:rPr>
            <w:sz w:val="22"/>
            <w:szCs w:val="22"/>
          </w:rPr>
        </w:sdtEndPr>
        <w:sdtContent>
          <w:p w:rsidR="00553C6C" w:rsidRPr="007A4C64" w:rsidRDefault="00553C6C" w:rsidP="00553C6C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553C6C" w:rsidRPr="007A4C64" w:rsidRDefault="00553C6C" w:rsidP="00553C6C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553C6C" w:rsidRDefault="00553C6C" w:rsidP="00553C6C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C44321" w:rsidRDefault="00553C6C" w:rsidP="00553C6C">
        <w:pPr>
          <w:pStyle w:val="Subsol"/>
          <w:pBdr>
            <w:top w:val="single" w:sz="4" w:space="1" w:color="auto"/>
          </w:pBdr>
          <w:jc w:val="center"/>
        </w:pPr>
        <w:r>
          <w:rPr>
            <w:rFonts w:ascii="Arial" w:hAnsi="Arial" w:cs="Arial"/>
            <w:sz w:val="20"/>
            <w:szCs w:val="20"/>
          </w:rPr>
        </w:r>
        <w:r w:rsidR="00977818">
          <w:t xml:space="preserve"> </w:t>
        </w:r>
        <w:r w:rsidR="00977818">
          <w:fldChar w:fldCharType="begin"/>
        </w:r>
        <w:r w:rsidR="00977818">
          <w:instrText xml:space="preserve"> PAGE   \* MERGEFORMAT </w:instrText>
        </w:r>
        <w:r w:rsidR="00977818">
          <w:fldChar w:fldCharType="separate"/>
        </w:r>
        <w:r w:rsidR="00977818">
          <w:rPr>
            <w:noProof/>
          </w:rPr>
          <w:t>4</w:t>
        </w:r>
        <w:r w:rsidR="0097781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538201104"/>
        </w:sdtPr>
        <w:sdtEndPr>
          <w:rPr>
            <w:sz w:val="22"/>
            <w:szCs w:val="22"/>
          </w:rPr>
        </w:sdtEndPr>
        <w:sdtContent>
          <w:p w:rsidR="00553C6C" w:rsidRPr="007A4C64" w:rsidRDefault="00553C6C" w:rsidP="00553C6C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553C6C" w:rsidRPr="007A4C64" w:rsidRDefault="00553C6C" w:rsidP="00553C6C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553C6C" w:rsidRDefault="00553C6C" w:rsidP="00553C6C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992A14" w:rsidRDefault="00977818" w:rsidP="00553C6C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7818">
      <w:pPr>
        <w:spacing w:after="0" w:line="240" w:lineRule="auto"/>
      </w:pPr>
      <w:r>
        <w:separator/>
      </w:r>
    </w:p>
  </w:footnote>
  <w:footnote w:type="continuationSeparator" w:id="0">
    <w:p w:rsidR="00000000" w:rsidRDefault="0097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97781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97781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77818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0610872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7781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7781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7781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77818" w:rsidP="00553C6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53C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7781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2B6"/>
    <w:multiLevelType w:val="hybridMultilevel"/>
    <w:tmpl w:val="111E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81635"/>
    <w:multiLevelType w:val="hybridMultilevel"/>
    <w:tmpl w:val="2DF8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AA2027"/>
    <w:multiLevelType w:val="hybridMultilevel"/>
    <w:tmpl w:val="69F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03FF0"/>
    <w:multiLevelType w:val="hybridMultilevel"/>
    <w:tmpl w:val="14020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V41x2/QZyghYedQVQC0FXOvnhSY=" w:salt="nmMs6MbJTHX/mvafXce1c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C6C"/>
    <w:rsid w:val="001C113D"/>
    <w:rsid w:val="002C0DB7"/>
    <w:rsid w:val="00417691"/>
    <w:rsid w:val="00553C6C"/>
    <w:rsid w:val="006F09AE"/>
    <w:rsid w:val="00791C36"/>
    <w:rsid w:val="00835802"/>
    <w:rsid w:val="0096531F"/>
    <w:rsid w:val="00977818"/>
    <w:rsid w:val="009C4C1B"/>
    <w:rsid w:val="00B131F9"/>
    <w:rsid w:val="00E8515D"/>
    <w:rsid w:val="00E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07FD0DA2456143899986A92990CE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1022-AA73-4E5A-83A7-A79CF11978BA}"/>
      </w:docPartPr>
      <w:docPartBody>
        <w:p w:rsidR="00000000" w:rsidRDefault="00DE3E0E" w:rsidP="00DE3E0E">
          <w:pPr>
            <w:pStyle w:val="07FD0DA2456143899986A92990CE0D72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CE51DB22B273443E93F91B2BF2C5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A70B-FE01-4C1E-9583-77863DEE883F}"/>
      </w:docPartPr>
      <w:docPartBody>
        <w:p w:rsidR="00000000" w:rsidRDefault="00DE3E0E" w:rsidP="00DE3E0E">
          <w:pPr>
            <w:pStyle w:val="CE51DB22B273443E93F91B2BF2C5DF9E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A8C858B407554561B2F334651E18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2873-6F2C-431F-95E4-0AB13497EFC4}"/>
      </w:docPartPr>
      <w:docPartBody>
        <w:p w:rsidR="00000000" w:rsidRDefault="00DE3E0E" w:rsidP="00DE3E0E">
          <w:pPr>
            <w:pStyle w:val="A8C858B407554561B2F334651E180745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3E0E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E3E0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07FD0DA2456143899986A92990CE0D72">
    <w:name w:val="07FD0DA2456143899986A92990CE0D72"/>
    <w:rsid w:val="00DE3E0E"/>
  </w:style>
  <w:style w:type="paragraph" w:customStyle="1" w:styleId="CE51DB22B273443E93F91B2BF2C5DF9E">
    <w:name w:val="CE51DB22B273443E93F91B2BF2C5DF9E"/>
    <w:rsid w:val="00DE3E0E"/>
  </w:style>
  <w:style w:type="paragraph" w:customStyle="1" w:styleId="A8C858B407554561B2F334651E180745">
    <w:name w:val="A8C858B407554561B2F334651E180745"/>
    <w:rsid w:val="00DE3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8e1773d-7a88-49e3-bc2a-86437bd33f86","Numar":null,"Data":null,"NumarActReglementareInitial":null,"DataActReglementareInitial":null,"DataInceput":"2017-10-27T00:00:00","DataSfarsit":null,"Durata":null,"PunctLucruId":269377.0,"TipActId":4.0,"NumarCerere":null,"DataCerere":null,"NumarCerereScriptic":"8278","DataCerereScriptic":"2017-09-28T00:00:00","CodFiscal":null,"SordId":"(164F6F32-0F82-466D-3A1B-CF4315878352)","SablonSordId":"(8B66777B-56B9-65A9-2773-1FA4A6BC21FB)","DosarSordId":"4497118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26, Dârjiu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B563151-EEA1-4920-A74B-A66825CF3D7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05608756-4CF5-472E-90E2-293CC2571C2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3BD30CE-5B73-4C40-B172-9D11548C4FF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C453B9E-D1EF-4156-8923-2BAA19C8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1348</Words>
  <Characters>7687</Characters>
  <Application>Microsoft Office Word</Application>
  <DocSecurity>8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9017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10</cp:revision>
  <cp:lastPrinted>2014-04-25T12:16:00Z</cp:lastPrinted>
  <dcterms:created xsi:type="dcterms:W3CDTF">2015-10-26T07:49:00Z</dcterms:created>
  <dcterms:modified xsi:type="dcterms:W3CDTF">2017-10-27T09:01:00Z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DARJIU</vt:lpwstr>
  </property>
  <property fmtid="{D5CDD505-2E9C-101B-9397-08002B2CF9AE}" pid="5" name="SordId">
    <vt:lpwstr>(164F6F32-0F82-466D-3A1B-CF4315878352)</vt:lpwstr>
  </property>
  <property fmtid="{D5CDD505-2E9C-101B-9397-08002B2CF9AE}" pid="6" name="VersiuneDocument">
    <vt:lpwstr>6</vt:lpwstr>
  </property>
  <property fmtid="{D5CDD505-2E9C-101B-9397-08002B2CF9AE}" pid="7" name="RuntimeGuid">
    <vt:lpwstr>d6bb55c9-2803-486e-987d-a38c3711d1dc</vt:lpwstr>
  </property>
  <property fmtid="{D5CDD505-2E9C-101B-9397-08002B2CF9AE}" pid="8" name="PunctLucruId">
    <vt:lpwstr>269377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4497118</vt:lpwstr>
  </property>
  <property fmtid="{D5CDD505-2E9C-101B-9397-08002B2CF9AE}" pid="11" name="DosarCerereSordId">
    <vt:lpwstr>4439294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f8e1773d-7a88-49e3-bc2a-86437bd33f86</vt:lpwstr>
  </property>
  <property fmtid="{D5CDD505-2E9C-101B-9397-08002B2CF9AE}" pid="16" name="CommitRoles">
    <vt:lpwstr>false</vt:lpwstr>
  </property>
</Properties>
</file>