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AE6DBD">
        <w:t>165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AE6DBD">
        <w:t xml:space="preserve">10 ianuarie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AE6DBD">
        <w:rPr>
          <w:b/>
          <w:sz w:val="32"/>
        </w:rPr>
        <w:t>10 ianuarie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E6DBD" w:rsidRPr="00F921B3" w:rsidTr="002C7D3E">
        <w:trPr>
          <w:trHeight w:val="540"/>
        </w:trPr>
        <w:tc>
          <w:tcPr>
            <w:tcW w:w="426" w:type="dxa"/>
          </w:tcPr>
          <w:p w:rsidR="00AE6DBD" w:rsidRPr="00F921B3" w:rsidRDefault="00AE6DB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E6DBD" w:rsidRDefault="00AE6DBD" w:rsidP="007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DRUMURI ŞI PODURI BRAŞOV S.A.</w:t>
            </w:r>
          </w:p>
        </w:tc>
        <w:tc>
          <w:tcPr>
            <w:tcW w:w="2268" w:type="dxa"/>
          </w:tcPr>
          <w:p w:rsidR="00AE6DBD" w:rsidRDefault="00AE6DBD" w:rsidP="007B302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Consolidare DN 13 A </w:t>
            </w:r>
          </w:p>
        </w:tc>
        <w:tc>
          <w:tcPr>
            <w:tcW w:w="2127" w:type="dxa"/>
          </w:tcPr>
          <w:p w:rsidR="00AE6DBD" w:rsidRDefault="00AE6DBD" w:rsidP="007B302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</w:t>
            </w:r>
          </w:p>
        </w:tc>
        <w:tc>
          <w:tcPr>
            <w:tcW w:w="2356" w:type="dxa"/>
          </w:tcPr>
          <w:p w:rsidR="00AE6DBD" w:rsidRDefault="00AE6DB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AE6DBD" w:rsidRDefault="00AE6DBD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D2CA1" w:rsidRDefault="00BD2CA1" w:rsidP="00BD2CA1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>
        <w:rPr>
          <w:b/>
          <w:sz w:val="32"/>
        </w:rPr>
        <w:t>A</w:t>
      </w:r>
      <w:r w:rsidRPr="00E567A3">
        <w:rPr>
          <w:b/>
          <w:sz w:val="32"/>
        </w:rPr>
        <w:t>.</w:t>
      </w:r>
      <w:r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BD2CA1" w:rsidRDefault="00BD2CA1" w:rsidP="00BD2CA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Pr="00E567A3">
        <w:rPr>
          <w:b/>
          <w:sz w:val="32"/>
        </w:rPr>
        <w:t xml:space="preserve"> data de  </w:t>
      </w:r>
      <w:r>
        <w:rPr>
          <w:b/>
          <w:sz w:val="32"/>
        </w:rPr>
        <w:t>10 ianuarie 2017</w:t>
      </w:r>
    </w:p>
    <w:p w:rsidR="00BD2CA1" w:rsidRDefault="00BD2CA1" w:rsidP="00BD2CA1">
      <w:pPr>
        <w:jc w:val="center"/>
        <w:outlineLvl w:val="0"/>
        <w:rPr>
          <w:b/>
          <w:sz w:val="32"/>
        </w:rPr>
      </w:pPr>
    </w:p>
    <w:p w:rsidR="00BD2CA1" w:rsidRDefault="00BD2CA1" w:rsidP="00BD2CA1">
      <w:pPr>
        <w:jc w:val="center"/>
        <w:outlineLvl w:val="0"/>
        <w:rPr>
          <w:b/>
          <w:sz w:val="10"/>
          <w:szCs w:val="10"/>
        </w:rPr>
      </w:pPr>
    </w:p>
    <w:p w:rsidR="00BD2CA1" w:rsidRDefault="00BD2CA1" w:rsidP="00BD2CA1">
      <w:pPr>
        <w:jc w:val="both"/>
      </w:pPr>
      <w:r>
        <w:tab/>
        <w:t>Conform prevederilor art. 13 al Ordinului M.M.D.D. nr. 1798/2007, Ordin 818/17.10.2003 pentru aprobarea procedurii de emitere a autorizaţiei integrate de mediu, cu modificările şi completările ulterioare, art. 32 al Deciziei preşedintelui ANPM nr. 321/2006, A.P.M. Harghita face publică decizia de emitere a autorizaţiilor de mediu pentru activităţile/instalaţiile cuprinse în tabel :</w:t>
      </w:r>
    </w:p>
    <w:p w:rsidR="00BD2CA1" w:rsidRDefault="00BD2CA1" w:rsidP="00BD2CA1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BD2CA1" w:rsidRPr="00CB170C" w:rsidTr="007B3020">
        <w:trPr>
          <w:trHeight w:val="540"/>
        </w:trPr>
        <w:tc>
          <w:tcPr>
            <w:tcW w:w="2409" w:type="dxa"/>
          </w:tcPr>
          <w:p w:rsidR="00BD2CA1" w:rsidRPr="00CB170C" w:rsidRDefault="00BD2CA1" w:rsidP="007B3020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BD2CA1" w:rsidRPr="00CB170C" w:rsidRDefault="00BD2CA1" w:rsidP="007B3020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BD2CA1" w:rsidRPr="00CB170C" w:rsidRDefault="00BD2CA1" w:rsidP="007B3020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BD2CA1" w:rsidRPr="00CB170C" w:rsidRDefault="00BD2CA1" w:rsidP="007B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BD2CA1" w:rsidRPr="00CB170C" w:rsidRDefault="00BD2CA1" w:rsidP="007B30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BD2CA1" w:rsidTr="007B3020">
        <w:tc>
          <w:tcPr>
            <w:tcW w:w="2430" w:type="dxa"/>
          </w:tcPr>
          <w:p w:rsidR="00BD2CA1" w:rsidRDefault="00BD2CA1" w:rsidP="007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EZERMESTER S.R.L.</w:t>
            </w:r>
          </w:p>
        </w:tc>
        <w:tc>
          <w:tcPr>
            <w:tcW w:w="2263" w:type="dxa"/>
          </w:tcPr>
          <w:p w:rsidR="00BD2CA1" w:rsidRDefault="00BD2CA1" w:rsidP="007B302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produse din material plastic</w:t>
            </w:r>
          </w:p>
        </w:tc>
        <w:tc>
          <w:tcPr>
            <w:tcW w:w="2395" w:type="dxa"/>
          </w:tcPr>
          <w:p w:rsidR="00BD2CA1" w:rsidRDefault="00BD2CA1" w:rsidP="007B302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Recoltei, nr. 32</w:t>
            </w:r>
          </w:p>
        </w:tc>
        <w:tc>
          <w:tcPr>
            <w:tcW w:w="2273" w:type="dxa"/>
          </w:tcPr>
          <w:p w:rsidR="00BD2CA1" w:rsidRDefault="00BD2CA1" w:rsidP="007B302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BD2CA1" w:rsidRDefault="00BD2CA1" w:rsidP="007B30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BD2CA1" w:rsidRPr="002511AF" w:rsidRDefault="00BD2CA1" w:rsidP="00BD2CA1">
      <w:pPr>
        <w:jc w:val="both"/>
        <w:rPr>
          <w:sz w:val="10"/>
          <w:szCs w:val="10"/>
        </w:rPr>
      </w:pPr>
    </w:p>
    <w:p w:rsidR="00BD2CA1" w:rsidRPr="00A33C8D" w:rsidRDefault="00BD2CA1" w:rsidP="00BD2CA1">
      <w:pPr>
        <w:ind w:firstLine="720"/>
        <w:rPr>
          <w:sz w:val="10"/>
          <w:szCs w:val="10"/>
        </w:rPr>
      </w:pPr>
    </w:p>
    <w:p w:rsidR="00BD2CA1" w:rsidRDefault="00BD2CA1" w:rsidP="00BD2CA1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  între orele 8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30</w:t>
      </w:r>
      <w:r>
        <w:t xml:space="preserve">. Decizia poate fi contestată în termen de 30 de zile lucrătoare de la data afişării/publicării. </w:t>
      </w:r>
    </w:p>
    <w:p w:rsidR="00BD2CA1" w:rsidRDefault="00BD2CA1" w:rsidP="00BD2CA1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BD2CA1" w:rsidRDefault="00BD2CA1" w:rsidP="00BD2CA1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20</cp:revision>
  <cp:lastPrinted>2017-01-10T08:10:00Z</cp:lastPrinted>
  <dcterms:created xsi:type="dcterms:W3CDTF">2016-05-18T06:45:00Z</dcterms:created>
  <dcterms:modified xsi:type="dcterms:W3CDTF">2017-01-10T08:48:00Z</dcterms:modified>
</cp:coreProperties>
</file>